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Apprentice dental nurse training programme</w:t>
      </w:r>
    </w:p>
    <w:p>
      <w:pPr>
        <w:pStyle w:val="Subtitle"/>
      </w:pPr>
      <w:r>
        <w:rPr>
          <w:b w:val="0"/>
        </w:rPr>
        <w:t>The basics first</w:t>
      </w:r>
    </w:p>
    <w:p>
      <w:r>
        <w:rPr>
          <w:b w:val="0"/>
        </w:rPr>
        <w:t>S3 Dental  |  England  |  19 October 2026</w:t>
      </w:r>
    </w:p>
    <w:p>
      <w:r>
        <w:rPr>
          <w:b w:val="0"/>
        </w:rPr>
        <w:t>This programme teaches dental nursing from the beginning. After the essential safety induction, your first learning priority is charting: identifying the tooth, understanding its anatomy and surfaces, and accurately recording the clinician’s findings. You will then learn periodontal records, common treatments and the practical routines of the surgery.</w:t>
      </w:r>
    </w:p>
    <w:p>
      <w:r>
        <w:rPr>
          <w:b w:val="0"/>
        </w:rPr>
        <w:t>You are expected to take part, ask questions, follow instructions and contribute to the team. You do not need to arrive with dental knowledge. Progress depends on understanding and safe performance, with the supervision required for your trainee role.</w:t>
      </w:r>
    </w:p>
    <w:p>
      <w:pPr>
        <w:pStyle w:val="Heading2"/>
      </w:pPr>
      <w:r>
        <w:t>Your individual programme</w:t>
      </w:r>
    </w:p>
    <w:p>
      <w:r>
        <w:rPr>
          <w:b w:val="0"/>
        </w:rPr>
        <w:t>Trainee: __________________________  Start date: ______________</w:t>
      </w:r>
    </w:p>
    <w:p>
      <w:r>
        <w:rPr>
          <w:b w:val="0"/>
        </w:rPr>
        <w:t>Practice and employing company: __________________________________</w:t>
      </w:r>
    </w:p>
    <w:p>
      <w:r>
        <w:rPr>
          <w:b w:val="0"/>
        </w:rPr>
        <w:t>Named supervising registrant and GDC number: ______________________</w:t>
      </w:r>
    </w:p>
    <w:p>
      <w:r>
        <w:rPr>
          <w:b w:val="0"/>
        </w:rPr>
        <w:t>Mentor and deputy: ______________________________________________</w:t>
      </w:r>
    </w:p>
    <w:p>
      <w:r>
        <w:rPr>
          <w:b w:val="0"/>
        </w:rPr>
        <w:t>Manager and provider tutor: ______________________________________</w:t>
      </w:r>
    </w:p>
    <w:p>
      <w:r>
        <w:rPr>
          <w:b w:val="0"/>
        </w:rPr>
        <w:t>Qualification and apprenticeship version: __________________________</w:t>
      </w:r>
    </w:p>
    <w:p>
      <w:r>
        <w:rPr>
          <w:b w:val="0"/>
        </w:rPr>
        <w:t>Formal training start and expected completion: _____________________</w:t>
      </w:r>
    </w:p>
    <w:p>
      <w:r>
        <w:rPr>
          <w:b w:val="0"/>
        </w:rPr>
        <w:t>Learning support or agreed adjustments: __________________________</w:t>
      </w:r>
    </w:p>
    <w:p>
      <w:pPr>
        <w:pStyle w:val="Heading2"/>
      </w:pPr>
      <w:r>
        <w:t>The learning sequence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6955"/>
        <w:gridCol w:w="1181"/>
      </w:tblGrid>
      <w:tr>
        <w:trPr>
          <w:tblHeader/>
          <w:cantSplit/>
        </w:trPr>
        <w:tc>
          <w:tcPr>
            <w:tcW w:type="dxa" w:w="1944"/>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Stage</w:t>
            </w:r>
          </w:p>
        </w:tc>
        <w:tc>
          <w:tcPr>
            <w:tcW w:type="dxa" w:w="6955"/>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Main focus</w:t>
            </w:r>
          </w:p>
        </w:tc>
        <w:tc>
          <w:tcPr>
            <w:tcW w:type="dxa" w:w="1181"/>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Pages</w:t>
            </w:r>
          </w:p>
        </w:tc>
      </w:tr>
      <w:tr>
        <w:trPr>
          <w:cantSplit/>
        </w:trPr>
        <w:tc>
          <w:tcPr>
            <w:tcW w:type="dxa" w:w="1944"/>
            <w:vAlign w:val="center"/>
            <w:tcMar>
              <w:top w:w="85" w:type="dxa"/>
              <w:left w:w="85" w:type="dxa"/>
              <w:bottom w:w="85" w:type="dxa"/>
              <w:right w:w="85" w:type="dxa"/>
            </w:tcMar>
            <w:shd w:fill="FFFFFF"/>
          </w:tcPr>
          <w:p>
            <w:pPr>
              <w:spacing w:after="40" w:before="20" w:line="252" w:lineRule="auto"/>
              <w:jc w:val="center"/>
            </w:pPr>
            <w:r>
              <w:rPr>
                <w:rFonts w:ascii="Arial" w:hAnsi="Arial"/>
                <w:sz w:val="20"/>
              </w:rPr>
              <w:t>Before duties</w:t>
            </w:r>
          </w:p>
        </w:tc>
        <w:tc>
          <w:tcPr>
            <w:tcW w:type="dxa" w:w="6955"/>
            <w:vAlign w:val="center"/>
            <w:tcMar>
              <w:top w:w="85" w:type="dxa"/>
              <w:left w:w="85" w:type="dxa"/>
              <w:bottom w:w="85" w:type="dxa"/>
              <w:right w:w="85" w:type="dxa"/>
            </w:tcMar>
            <w:shd w:fill="FFFFFF"/>
          </w:tcPr>
          <w:p>
            <w:pPr>
              <w:spacing w:after="40" w:before="20" w:line="252" w:lineRule="auto"/>
            </w:pPr>
            <w:r>
              <w:rPr>
                <w:rFonts w:ascii="Arial" w:hAnsi="Arial"/>
                <w:sz w:val="20"/>
              </w:rPr>
              <w:t>Local safety induction and supervision arrangements.</w:t>
            </w:r>
          </w:p>
        </w:tc>
        <w:tc>
          <w:tcPr>
            <w:tcW w:type="dxa" w:w="1181"/>
            <w:vAlign w:val="center"/>
            <w:tcMar>
              <w:top w:w="85" w:type="dxa"/>
              <w:left w:w="85" w:type="dxa"/>
              <w:bottom w:w="85" w:type="dxa"/>
              <w:right w:w="85" w:type="dxa"/>
            </w:tcMar>
            <w:shd w:fill="FFFFFF"/>
          </w:tcPr>
          <w:p>
            <w:pPr>
              <w:spacing w:after="40" w:before="20" w:line="252" w:lineRule="auto"/>
            </w:pPr>
            <w:r>
              <w:rPr>
                <w:rFonts w:ascii="Arial" w:hAnsi="Arial"/>
                <w:sz w:val="20"/>
              </w:rPr>
              <w:t>2</w:t>
            </w:r>
          </w:p>
        </w:tc>
      </w:tr>
      <w:tr>
        <w:trPr>
          <w:cantSplit/>
        </w:trPr>
        <w:tc>
          <w:tcPr>
            <w:tcW w:type="dxa" w:w="1944"/>
            <w:vAlign w:val="center"/>
            <w:tcMar>
              <w:top w:w="85" w:type="dxa"/>
              <w:left w:w="85" w:type="dxa"/>
              <w:bottom w:w="85" w:type="dxa"/>
              <w:right w:w="85" w:type="dxa"/>
            </w:tcMar>
            <w:shd w:fill="F4F4F4"/>
          </w:tcPr>
          <w:p>
            <w:pPr>
              <w:spacing w:after="40" w:before="20" w:line="252" w:lineRule="auto"/>
              <w:jc w:val="center"/>
            </w:pPr>
            <w:r>
              <w:rPr>
                <w:rFonts w:ascii="Arial" w:hAnsi="Arial"/>
                <w:sz w:val="20"/>
              </w:rPr>
              <w:t>Weeks 1 to 4</w:t>
            </w:r>
          </w:p>
        </w:tc>
        <w:tc>
          <w:tcPr>
            <w:tcW w:type="dxa" w:w="6955"/>
            <w:vAlign w:val="center"/>
            <w:tcMar>
              <w:top w:w="85" w:type="dxa"/>
              <w:left w:w="85" w:type="dxa"/>
              <w:bottom w:w="85" w:type="dxa"/>
              <w:right w:w="85" w:type="dxa"/>
            </w:tcMar>
            <w:shd w:fill="F4F4F4"/>
          </w:tcPr>
          <w:p>
            <w:pPr>
              <w:spacing w:after="40" w:before="20" w:line="252" w:lineRule="auto"/>
            </w:pPr>
            <w:r>
              <w:rPr>
                <w:rFonts w:ascii="Arial" w:hAnsi="Arial"/>
                <w:sz w:val="20"/>
              </w:rPr>
              <w:t>Tooth notation, tooth types, anatomy, surfaces, common charting, BPE, six-point charts and treatment basics.</w:t>
            </w:r>
          </w:p>
        </w:tc>
        <w:tc>
          <w:tcPr>
            <w:tcW w:type="dxa" w:w="1181"/>
            <w:vAlign w:val="center"/>
            <w:tcMar>
              <w:top w:w="85" w:type="dxa"/>
              <w:left w:w="85" w:type="dxa"/>
              <w:bottom w:w="85" w:type="dxa"/>
              <w:right w:w="85" w:type="dxa"/>
            </w:tcMar>
            <w:shd w:fill="F4F4F4"/>
          </w:tcPr>
          <w:p>
            <w:pPr>
              <w:spacing w:after="40" w:before="20" w:line="252" w:lineRule="auto"/>
            </w:pPr>
            <w:r>
              <w:rPr>
                <w:rFonts w:ascii="Arial" w:hAnsi="Arial"/>
                <w:sz w:val="20"/>
              </w:rPr>
              <w:t>3 and 5–18</w:t>
            </w:r>
          </w:p>
        </w:tc>
      </w:tr>
      <w:tr>
        <w:trPr>
          <w:cantSplit/>
        </w:trPr>
        <w:tc>
          <w:tcPr>
            <w:tcW w:type="dxa" w:w="1944"/>
            <w:vAlign w:val="center"/>
            <w:tcMar>
              <w:top w:w="85" w:type="dxa"/>
              <w:left w:w="85" w:type="dxa"/>
              <w:bottom w:w="85" w:type="dxa"/>
              <w:right w:w="85" w:type="dxa"/>
            </w:tcMar>
            <w:shd w:fill="FFFFFF"/>
          </w:tcPr>
          <w:p>
            <w:pPr>
              <w:spacing w:after="40" w:before="20" w:line="252" w:lineRule="auto"/>
              <w:jc w:val="center"/>
            </w:pPr>
            <w:r>
              <w:rPr>
                <w:rFonts w:ascii="Arial" w:hAnsi="Arial"/>
                <w:sz w:val="20"/>
              </w:rPr>
              <w:t>Weeks 5 to 12</w:t>
            </w:r>
          </w:p>
        </w:tc>
        <w:tc>
          <w:tcPr>
            <w:tcW w:type="dxa" w:w="6955"/>
            <w:vAlign w:val="center"/>
            <w:tcMar>
              <w:top w:w="85" w:type="dxa"/>
              <w:left w:w="85" w:type="dxa"/>
              <w:bottom w:w="85" w:type="dxa"/>
              <w:right w:w="85" w:type="dxa"/>
            </w:tcMar>
            <w:shd w:fill="FFFFFF"/>
          </w:tcPr>
          <w:p>
            <w:pPr>
              <w:spacing w:after="40" w:before="20" w:line="252" w:lineRule="auto"/>
            </w:pPr>
            <w:r>
              <w:rPr>
                <w:rFonts w:ascii="Arial" w:hAnsi="Arial"/>
                <w:sz w:val="20"/>
              </w:rPr>
              <w:t>Apply the basics during suitable supervised clinical work and develop reliable surgery routines.</w:t>
            </w:r>
          </w:p>
        </w:tc>
        <w:tc>
          <w:tcPr>
            <w:tcW w:type="dxa" w:w="1181"/>
            <w:vAlign w:val="center"/>
            <w:tcMar>
              <w:top w:w="85" w:type="dxa"/>
              <w:left w:w="85" w:type="dxa"/>
              <w:bottom w:w="85" w:type="dxa"/>
              <w:right w:w="85" w:type="dxa"/>
            </w:tcMar>
            <w:shd w:fill="FFFFFF"/>
          </w:tcPr>
          <w:p>
            <w:pPr>
              <w:spacing w:after="40" w:before="20" w:line="252" w:lineRule="auto"/>
            </w:pPr>
            <w:r>
              <w:rPr>
                <w:rFonts w:ascii="Arial" w:hAnsi="Arial"/>
                <w:sz w:val="20"/>
              </w:rPr>
              <w:t>4</w:t>
            </w:r>
          </w:p>
        </w:tc>
      </w:tr>
      <w:tr>
        <w:trPr>
          <w:cantSplit/>
        </w:trPr>
        <w:tc>
          <w:tcPr>
            <w:tcW w:type="dxa" w:w="1944"/>
            <w:vAlign w:val="center"/>
            <w:tcMar>
              <w:top w:w="85" w:type="dxa"/>
              <w:left w:w="85" w:type="dxa"/>
              <w:bottom w:w="85" w:type="dxa"/>
              <w:right w:w="85" w:type="dxa"/>
            </w:tcMar>
            <w:shd w:fill="F4F4F4"/>
          </w:tcPr>
          <w:p>
            <w:pPr>
              <w:spacing w:after="40" w:before="20" w:line="252" w:lineRule="auto"/>
              <w:jc w:val="center"/>
            </w:pPr>
            <w:r>
              <w:rPr>
                <w:rFonts w:ascii="Arial" w:hAnsi="Arial"/>
                <w:sz w:val="20"/>
              </w:rPr>
              <w:t>As equipment is introduced</w:t>
            </w:r>
          </w:p>
        </w:tc>
        <w:tc>
          <w:tcPr>
            <w:tcW w:type="dxa" w:w="6955"/>
            <w:vAlign w:val="center"/>
            <w:tcMar>
              <w:top w:w="85" w:type="dxa"/>
              <w:left w:w="85" w:type="dxa"/>
              <w:bottom w:w="85" w:type="dxa"/>
              <w:right w:w="85" w:type="dxa"/>
            </w:tcMar>
            <w:shd w:fill="F4F4F4"/>
          </w:tcPr>
          <w:p>
            <w:pPr>
              <w:spacing w:after="40" w:before="20" w:line="252" w:lineRule="auto"/>
            </w:pPr>
            <w:r>
              <w:rPr>
                <w:rFonts w:ascii="Arial" w:hAnsi="Arial"/>
                <w:sz w:val="20"/>
              </w:rPr>
              <w:t>Ad hoc surgery, 3Shape TRIOS and EMS AIRFLOW teaching, with a separate task demonstration.</w:t>
            </w:r>
          </w:p>
        </w:tc>
        <w:tc>
          <w:tcPr>
            <w:tcW w:type="dxa" w:w="1181"/>
            <w:vAlign w:val="center"/>
            <w:tcMar>
              <w:top w:w="85" w:type="dxa"/>
              <w:left w:w="85" w:type="dxa"/>
              <w:bottom w:w="85" w:type="dxa"/>
              <w:right w:w="85" w:type="dxa"/>
            </w:tcMar>
            <w:shd w:fill="F4F4F4"/>
          </w:tcPr>
          <w:p>
            <w:pPr>
              <w:spacing w:after="40" w:before="20" w:line="252" w:lineRule="auto"/>
            </w:pPr>
            <w:r>
              <w:rPr>
                <w:rFonts w:ascii="Arial" w:hAnsi="Arial"/>
                <w:sz w:val="20"/>
              </w:rPr>
              <w:t>19–23</w:t>
            </w:r>
          </w:p>
        </w:tc>
      </w:tr>
      <w:tr>
        <w:trPr>
          <w:cantSplit/>
        </w:trPr>
        <w:tc>
          <w:tcPr>
            <w:tcW w:type="dxa" w:w="1944"/>
            <w:vAlign w:val="center"/>
            <w:tcMar>
              <w:top w:w="85" w:type="dxa"/>
              <w:left w:w="85" w:type="dxa"/>
              <w:bottom w:w="85" w:type="dxa"/>
              <w:right w:w="85" w:type="dxa"/>
            </w:tcMar>
            <w:shd w:fill="FFFFFF"/>
          </w:tcPr>
          <w:p>
            <w:pPr>
              <w:spacing w:after="40" w:before="20" w:line="252" w:lineRule="auto"/>
              <w:jc w:val="center"/>
            </w:pPr>
            <w:r>
              <w:rPr>
                <w:rFonts w:ascii="Arial" w:hAnsi="Arial"/>
                <w:sz w:val="20"/>
              </w:rPr>
              <w:t>Through qualification</w:t>
            </w:r>
          </w:p>
        </w:tc>
        <w:tc>
          <w:tcPr>
            <w:tcW w:type="dxa" w:w="6955"/>
            <w:vAlign w:val="center"/>
            <w:tcMar>
              <w:top w:w="85" w:type="dxa"/>
              <w:left w:w="85" w:type="dxa"/>
              <w:bottom w:w="85" w:type="dxa"/>
              <w:right w:w="85" w:type="dxa"/>
            </w:tcMar>
            <w:shd w:fill="FFFFFF"/>
          </w:tcPr>
          <w:p>
            <w:pPr>
              <w:spacing w:after="40" w:before="20" w:line="252" w:lineRule="auto"/>
            </w:pPr>
            <w:r>
              <w:rPr>
                <w:rFonts w:ascii="Arial" w:hAnsi="Arial"/>
                <w:sz w:val="20"/>
              </w:rPr>
              <w:t>Broader experience, the provider curriculum, assessment and registration. Learning records and practice exercises.</w:t>
            </w:r>
          </w:p>
        </w:tc>
        <w:tc>
          <w:tcPr>
            <w:tcW w:type="dxa" w:w="1181"/>
            <w:vAlign w:val="center"/>
            <w:tcMar>
              <w:top w:w="85" w:type="dxa"/>
              <w:left w:w="85" w:type="dxa"/>
              <w:bottom w:w="85" w:type="dxa"/>
              <w:right w:w="85" w:type="dxa"/>
            </w:tcMar>
            <w:shd w:fill="FFFFFF"/>
          </w:tcPr>
          <w:p>
            <w:pPr>
              <w:spacing w:after="40" w:before="20" w:line="252" w:lineRule="auto"/>
            </w:pPr>
            <w:r>
              <w:rPr>
                <w:rFonts w:ascii="Arial" w:hAnsi="Arial"/>
                <w:sz w:val="20"/>
              </w:rPr>
              <w:t>24–29</w:t>
            </w:r>
          </w:p>
        </w:tc>
      </w:tr>
    </w:tbl>
    <w:p>
      <w:pPr>
        <w:spacing w:after="0"/>
      </w:pPr>
      <w:r>
        <w:rPr>
          <w:b w:val="0"/>
        </w:rPr>
      </w:r>
    </w:p>
    <w:p>
      <w:pPr>
        <w:spacing w:before="100"/>
      </w:pPr>
      <w:r>
        <w:rPr>
          <w:b w:val="0"/>
          <w:color w:val="444444"/>
          <w:sz w:val="19"/>
        </w:rPr>
        <w:t>Use this manual with the S3 Dental Apprentice Induction Policy Pack and contract expectations. The manager completes the local details before use. Week targets guide teaching; they do not automatically authorise a task.</w:t>
      </w:r>
    </w:p>
    <w:p>
      <w:pPr>
        <w:pStyle w:val="Heading1"/>
        <w:pageBreakBefore/>
      </w:pPr>
      <w:r>
        <w:t>Induction before duties</w:t>
      </w:r>
    </w:p>
    <w:p>
      <w:r>
        <w:rPr>
          <w:b w:val="0"/>
        </w:rPr>
        <w:t>Complete the local induction before operational or patient duties. The manager must show the learner the applicable policies, contacts and procedures, then check understanding through explanation and demonstration. The companion policy pack contains the full induction material.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024"/>
        <w:gridCol w:w="7056"/>
      </w:tblGrid>
      <w:tr>
        <w:trPr>
          <w:tblHeader/>
          <w:cantSplit/>
        </w:trPr>
        <w:tc>
          <w:tcPr>
            <w:tcW w:type="dxa" w:w="3024"/>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Area</w:t>
            </w:r>
          </w:p>
        </w:tc>
        <w:tc>
          <w:tcPr>
            <w:tcW w:type="dxa" w:w="7056"/>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What the learner must know</w:t>
            </w:r>
          </w:p>
        </w:tc>
      </w:tr>
      <w:tr>
        <w:trPr>
          <w:cantSplit/>
        </w:trPr>
        <w:tc>
          <w:tcPr>
            <w:tcW w:type="dxa" w:w="3024"/>
            <w:vAlign w:val="center"/>
            <w:tcMar>
              <w:top w:w="85" w:type="dxa"/>
              <w:left w:w="85" w:type="dxa"/>
              <w:bottom w:w="85" w:type="dxa"/>
              <w:right w:w="85" w:type="dxa"/>
            </w:tcMar>
            <w:shd w:fill="FFFFFF"/>
          </w:tcPr>
          <w:p>
            <w:pPr>
              <w:spacing w:after="40" w:before="20" w:line="252" w:lineRule="auto"/>
            </w:pPr>
            <w:r>
              <w:rPr>
                <w:rFonts w:ascii="Arial" w:hAnsi="Arial"/>
                <w:sz w:val="20"/>
              </w:rPr>
              <w:t>Patient safety and confidentiality</w:t>
            </w:r>
          </w:p>
        </w:tc>
        <w:tc>
          <w:tcPr>
            <w:tcW w:type="dxa" w:w="7056"/>
            <w:vAlign w:val="center"/>
            <w:tcMar>
              <w:top w:w="85" w:type="dxa"/>
              <w:left w:w="85" w:type="dxa"/>
              <w:bottom w:w="85" w:type="dxa"/>
              <w:right w:w="85" w:type="dxa"/>
            </w:tcMar>
            <w:shd w:fill="FFFFFF"/>
          </w:tcPr>
          <w:p>
            <w:pPr>
              <w:spacing w:after="40" w:before="20" w:line="252" w:lineRule="auto"/>
            </w:pPr>
            <w:r>
              <w:rPr>
                <w:rFonts w:ascii="Arial" w:hAnsi="Arial"/>
                <w:sz w:val="20"/>
              </w:rPr>
              <w:t>Trainee limits, consent to involvement, privacy, correct patient identification, secure records and reporting a concern.</w:t>
            </w:r>
          </w:p>
        </w:tc>
      </w:tr>
      <w:tr>
        <w:trPr>
          <w:cantSplit/>
        </w:trPr>
        <w:tc>
          <w:tcPr>
            <w:tcW w:type="dxa" w:w="3024"/>
            <w:vAlign w:val="center"/>
            <w:tcMar>
              <w:top w:w="85" w:type="dxa"/>
              <w:left w:w="85" w:type="dxa"/>
              <w:bottom w:w="85" w:type="dxa"/>
              <w:right w:w="85" w:type="dxa"/>
            </w:tcMar>
            <w:shd w:fill="F4F4F4"/>
          </w:tcPr>
          <w:p>
            <w:pPr>
              <w:spacing w:after="40" w:before="20" w:line="252" w:lineRule="auto"/>
            </w:pPr>
            <w:r>
              <w:rPr>
                <w:rFonts w:ascii="Arial" w:hAnsi="Arial"/>
                <w:sz w:val="20"/>
              </w:rPr>
              <w:t>Infection prevention</w:t>
            </w:r>
          </w:p>
        </w:tc>
        <w:tc>
          <w:tcPr>
            <w:tcW w:type="dxa" w:w="7056"/>
            <w:vAlign w:val="center"/>
            <w:tcMar>
              <w:top w:w="85" w:type="dxa"/>
              <w:left w:w="85" w:type="dxa"/>
              <w:bottom w:w="85" w:type="dxa"/>
              <w:right w:w="85" w:type="dxa"/>
            </w:tcMar>
            <w:shd w:fill="F4F4F4"/>
          </w:tcPr>
          <w:p>
            <w:pPr>
              <w:spacing w:after="40" w:before="20" w:line="252" w:lineRule="auto"/>
            </w:pPr>
            <w:r>
              <w:rPr>
                <w:rFonts w:ascii="Arial" w:hAnsi="Arial"/>
                <w:sz w:val="20"/>
              </w:rPr>
              <w:t>Hand hygiene, PPE, clean and contaminated areas, instrument handling, surface cleaning, sharps and waste precautions.</w:t>
            </w:r>
          </w:p>
        </w:tc>
      </w:tr>
      <w:tr>
        <w:trPr>
          <w:cantSplit/>
        </w:trPr>
        <w:tc>
          <w:tcPr>
            <w:tcW w:type="dxa" w:w="3024"/>
            <w:vAlign w:val="center"/>
            <w:tcMar>
              <w:top w:w="85" w:type="dxa"/>
              <w:left w:w="85" w:type="dxa"/>
              <w:bottom w:w="85" w:type="dxa"/>
              <w:right w:w="85" w:type="dxa"/>
            </w:tcMar>
            <w:shd w:fill="FFFFFF"/>
          </w:tcPr>
          <w:p>
            <w:pPr>
              <w:spacing w:after="40" w:before="20" w:line="252" w:lineRule="auto"/>
            </w:pPr>
            <w:r>
              <w:rPr>
                <w:rFonts w:ascii="Arial" w:hAnsi="Arial"/>
                <w:sz w:val="20"/>
              </w:rPr>
              <w:t>Safeguarding children and adults</w:t>
            </w:r>
          </w:p>
        </w:tc>
        <w:tc>
          <w:tcPr>
            <w:tcW w:type="dxa" w:w="7056"/>
            <w:vAlign w:val="center"/>
            <w:tcMar>
              <w:top w:w="85" w:type="dxa"/>
              <w:left w:w="85" w:type="dxa"/>
              <w:bottom w:w="85" w:type="dxa"/>
              <w:right w:w="85" w:type="dxa"/>
            </w:tcMar>
            <w:shd w:fill="FFFFFF"/>
          </w:tcPr>
          <w:p>
            <w:pPr>
              <w:spacing w:after="40" w:before="20" w:line="252" w:lineRule="auto"/>
            </w:pPr>
            <w:r>
              <w:rPr>
                <w:rFonts w:ascii="Arial" w:hAnsi="Arial"/>
                <w:sz w:val="20"/>
              </w:rPr>
              <w:t>How to recognise and promptly report a concern, and the local safeguarding contact and alternative route.</w:t>
            </w:r>
          </w:p>
        </w:tc>
      </w:tr>
      <w:tr>
        <w:trPr>
          <w:cantSplit/>
        </w:trPr>
        <w:tc>
          <w:tcPr>
            <w:tcW w:type="dxa" w:w="3024"/>
            <w:vAlign w:val="center"/>
            <w:tcMar>
              <w:top w:w="85" w:type="dxa"/>
              <w:left w:w="85" w:type="dxa"/>
              <w:bottom w:w="85" w:type="dxa"/>
              <w:right w:w="85" w:type="dxa"/>
            </w:tcMar>
            <w:shd w:fill="F4F4F4"/>
          </w:tcPr>
          <w:p>
            <w:pPr>
              <w:spacing w:after="40" w:before="20" w:line="252" w:lineRule="auto"/>
            </w:pPr>
            <w:r>
              <w:rPr>
                <w:rFonts w:ascii="Arial" w:hAnsi="Arial"/>
                <w:sz w:val="20"/>
              </w:rPr>
              <w:t>Medical emergencies</w:t>
            </w:r>
          </w:p>
        </w:tc>
        <w:tc>
          <w:tcPr>
            <w:tcW w:type="dxa" w:w="7056"/>
            <w:vAlign w:val="center"/>
            <w:tcMar>
              <w:top w:w="85" w:type="dxa"/>
              <w:left w:w="85" w:type="dxa"/>
              <w:bottom w:w="85" w:type="dxa"/>
              <w:right w:w="85" w:type="dxa"/>
            </w:tcMar>
            <w:shd w:fill="F4F4F4"/>
          </w:tcPr>
          <w:p>
            <w:pPr>
              <w:spacing w:after="40" w:before="20" w:line="252" w:lineRule="auto"/>
            </w:pPr>
            <w:r>
              <w:rPr>
                <w:rFonts w:ascii="Arial" w:hAnsi="Arial"/>
                <w:sz w:val="20"/>
              </w:rPr>
              <w:t>How to summon help, where the emergency equipment is kept and the immediate role the learner has been taught.</w:t>
            </w:r>
          </w:p>
        </w:tc>
      </w:tr>
      <w:tr>
        <w:trPr>
          <w:cantSplit/>
        </w:trPr>
        <w:tc>
          <w:tcPr>
            <w:tcW w:type="dxa" w:w="3024"/>
            <w:vAlign w:val="center"/>
            <w:tcMar>
              <w:top w:w="85" w:type="dxa"/>
              <w:left w:w="85" w:type="dxa"/>
              <w:bottom w:w="85" w:type="dxa"/>
              <w:right w:w="85" w:type="dxa"/>
            </w:tcMar>
            <w:shd w:fill="FFFFFF"/>
          </w:tcPr>
          <w:p>
            <w:pPr>
              <w:spacing w:after="40" w:before="20" w:line="252" w:lineRule="auto"/>
            </w:pPr>
            <w:r>
              <w:rPr>
                <w:rFonts w:ascii="Arial" w:hAnsi="Arial"/>
                <w:sz w:val="20"/>
              </w:rPr>
              <w:t>Supervision and help</w:t>
            </w:r>
          </w:p>
        </w:tc>
        <w:tc>
          <w:tcPr>
            <w:tcW w:type="dxa" w:w="7056"/>
            <w:vAlign w:val="center"/>
            <w:tcMar>
              <w:top w:w="85" w:type="dxa"/>
              <w:left w:w="85" w:type="dxa"/>
              <w:bottom w:w="85" w:type="dxa"/>
              <w:right w:w="85" w:type="dxa"/>
            </w:tcMar>
            <w:shd w:fill="FFFFFF"/>
          </w:tcPr>
          <w:p>
            <w:pPr>
              <w:spacing w:after="40" w:before="20" w:line="252" w:lineRule="auto"/>
            </w:pPr>
            <w:r>
              <w:rPr>
                <w:rFonts w:ascii="Arial" w:hAnsi="Arial"/>
                <w:sz w:val="20"/>
              </w:rPr>
              <w:t>The supervising registrant, mentor and deputy; when to stop and who to contact if help is unavailable.</w:t>
            </w:r>
          </w:p>
        </w:tc>
      </w:tr>
      <w:tr>
        <w:trPr>
          <w:cantSplit/>
        </w:trPr>
        <w:tc>
          <w:tcPr>
            <w:tcW w:type="dxa" w:w="3024"/>
            <w:vAlign w:val="center"/>
            <w:tcMar>
              <w:top w:w="85" w:type="dxa"/>
              <w:left w:w="85" w:type="dxa"/>
              <w:bottom w:w="85" w:type="dxa"/>
              <w:right w:w="85" w:type="dxa"/>
            </w:tcMar>
            <w:shd w:fill="F4F4F4"/>
          </w:tcPr>
          <w:p>
            <w:pPr>
              <w:spacing w:after="40" w:before="20" w:line="252" w:lineRule="auto"/>
            </w:pPr>
            <w:r>
              <w:rPr>
                <w:rFonts w:ascii="Arial" w:hAnsi="Arial"/>
                <w:sz w:val="20"/>
              </w:rPr>
              <w:t>Local hazards and fire</w:t>
            </w:r>
          </w:p>
        </w:tc>
        <w:tc>
          <w:tcPr>
            <w:tcW w:type="dxa" w:w="7056"/>
            <w:vAlign w:val="center"/>
            <w:tcMar>
              <w:top w:w="85" w:type="dxa"/>
              <w:left w:w="85" w:type="dxa"/>
              <w:bottom w:w="85" w:type="dxa"/>
              <w:right w:w="85" w:type="dxa"/>
            </w:tcMar>
            <w:shd w:fill="F4F4F4"/>
          </w:tcPr>
          <w:p>
            <w:pPr>
              <w:spacing w:after="40" w:before="20" w:line="252" w:lineRule="auto"/>
            </w:pPr>
            <w:r>
              <w:rPr>
                <w:rFonts w:ascii="Arial" w:hAnsi="Arial"/>
                <w:sz w:val="20"/>
              </w:rPr>
              <w:t>Equipment and chemical hazards, injury and incident reporting, alarms, evacuation and the assembly point.</w:t>
            </w:r>
          </w:p>
        </w:tc>
      </w:tr>
      <w:tr>
        <w:trPr>
          <w:cantSplit/>
        </w:trPr>
        <w:tc>
          <w:tcPr>
            <w:tcW w:type="dxa" w:w="3024"/>
            <w:vAlign w:val="center"/>
            <w:tcMar>
              <w:top w:w="85" w:type="dxa"/>
              <w:left w:w="85" w:type="dxa"/>
              <w:bottom w:w="85" w:type="dxa"/>
              <w:right w:w="85" w:type="dxa"/>
            </w:tcMar>
            <w:shd w:fill="FFFFFF"/>
          </w:tcPr>
          <w:p>
            <w:pPr>
              <w:spacing w:after="40" w:before="20" w:line="252" w:lineRule="auto"/>
            </w:pPr>
            <w:r>
              <w:rPr>
                <w:rFonts w:ascii="Arial" w:hAnsi="Arial"/>
                <w:sz w:val="20"/>
              </w:rPr>
              <w:t>Attendance and conduct</w:t>
            </w:r>
          </w:p>
        </w:tc>
        <w:tc>
          <w:tcPr>
            <w:tcW w:type="dxa" w:w="7056"/>
            <w:vAlign w:val="center"/>
            <w:tcMar>
              <w:top w:w="85" w:type="dxa"/>
              <w:left w:w="85" w:type="dxa"/>
              <w:bottom w:w="85" w:type="dxa"/>
              <w:right w:w="85" w:type="dxa"/>
            </w:tcMar>
            <w:shd w:fill="FFFFFF"/>
          </w:tcPr>
          <w:p>
            <w:pPr>
              <w:spacing w:after="40" w:before="20" w:line="252" w:lineRule="auto"/>
            </w:pPr>
            <w:r>
              <w:rPr>
                <w:rFonts w:ascii="Arial" w:hAnsi="Arial"/>
                <w:sz w:val="20"/>
              </w:rPr>
              <w:t>Absence contact, agreed breaks, shared duties, task allocation, handovers, respectful behaviour and professional appearance.</w:t>
            </w:r>
          </w:p>
        </w:tc>
      </w:tr>
    </w:tbl>
    <w:p>
      <w:pPr>
        <w:spacing w:after="0"/>
      </w:pPr>
      <w:r>
        <w:rPr>
          <w:b w:val="0"/>
        </w:rPr>
      </w:r>
    </w:p>
    <w:p>
      <w:pPr>
        <w:pStyle w:val="Heading2"/>
      </w:pPr>
      <w:r>
        <w:t>Manager preparation</w:t>
      </w:r>
    </w:p>
    <w:p>
      <w:pPr>
        <w:pStyle w:val="ListBullet"/>
      </w:pPr>
      <w:r>
        <w:rPr>
          <w:b w:val="0"/>
        </w:rPr>
        <w:t>Confirm the approved course, provider plan, recruitment checks, occupational health advice, relevant restrictions and insurance arrangements.</w:t>
      </w:r>
    </w:p>
    <w:p>
      <w:pPr>
        <w:pStyle w:val="ListBullet"/>
      </w:pPr>
      <w:r>
        <w:rPr>
          <w:b w:val="0"/>
        </w:rPr>
        <w:t>Name the supervising registrant, mentor and deputy. Provide uniform, PPE, current procedures, authorised system access and learning support.</w:t>
      </w:r>
    </w:p>
    <w:p>
      <w:pPr>
        <w:pStyle w:val="ListBullet"/>
      </w:pPr>
      <w:r>
        <w:rPr>
          <w:b w:val="0"/>
        </w:rPr>
        <w:t>Arrange practical emergency teaching and other training appropriate to the learner’s actual duties. Teach infection prevention before the task that requires it.</w:t>
      </w:r>
    </w:p>
    <w:p>
      <w:r>
        <w:rPr>
          <w:b w:val="0"/>
        </w:rPr>
        <w:t>Induction completed: __________  Trainer: __________  Learner: __________</w:t>
      </w:r>
    </w:p>
    <w:p>
      <w:pPr>
        <w:spacing w:after="140"/>
      </w:pPr>
      <w:r>
        <w:t xml:space="preserve">Read: </w:t>
      </w:r>
      <w:hyperlink r:id="rId11">
        <w:r>
          <w:rPr>
            <w:color w:val="205781"/>
            <w:sz w:val="20"/>
          </w:rPr>
          <w:t>GDC guidance for employers of trainees and students</w:t>
        </w:r>
      </w:hyperlink>
    </w:p>
    <w:p>
      <w:pPr>
        <w:pStyle w:val="Heading1"/>
        <w:pageBreakBefore/>
      </w:pPr>
      <w:r>
        <w:t>The first four weeks</w:t>
      </w:r>
    </w:p>
    <w:p>
      <w:r>
        <w:rPr>
          <w:b w:val="0"/>
        </w:rPr>
        <w:t>Charting is the first teaching block after induction. Start with a mouth model and paper exercises, then a trainer demonstration in an authorised EXACT training environment. Repeat unclear steps before increasing difficulty. Safety, patient communication and taught hygiene routines continue alongside this learning.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83"/>
        <w:gridCol w:w="4392"/>
        <w:gridCol w:w="4205"/>
      </w:tblGrid>
      <w:tr>
        <w:trPr>
          <w:tblHeader/>
          <w:cantSplit/>
        </w:trPr>
        <w:tc>
          <w:tcPr>
            <w:tcW w:type="dxa" w:w="1483"/>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When</w:t>
            </w:r>
          </w:p>
        </w:tc>
        <w:tc>
          <w:tcPr>
            <w:tcW w:type="dxa" w:w="4392"/>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Teach in this order</w:t>
            </w:r>
          </w:p>
        </w:tc>
        <w:tc>
          <w:tcPr>
            <w:tcW w:type="dxa" w:w="4205"/>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Evidence of understanding</w:t>
            </w:r>
          </w:p>
        </w:tc>
      </w:tr>
      <w:tr>
        <w:trPr>
          <w:cantSplit/>
        </w:trPr>
        <w:tc>
          <w:tcPr>
            <w:tcW w:type="dxa" w:w="1483"/>
            <w:vAlign w:val="center"/>
            <w:tcMar>
              <w:top w:w="85" w:type="dxa"/>
              <w:left w:w="85" w:type="dxa"/>
              <w:bottom w:w="85" w:type="dxa"/>
              <w:right w:w="85" w:type="dxa"/>
            </w:tcMar>
            <w:shd w:fill="FFFFFF"/>
          </w:tcPr>
          <w:p>
            <w:pPr>
              <w:spacing w:after="40" w:before="20" w:line="252" w:lineRule="auto"/>
              <w:jc w:val="center"/>
            </w:pPr>
            <w:r>
              <w:rPr>
                <w:rFonts w:ascii="Arial" w:hAnsi="Arial"/>
                <w:sz w:val="20"/>
              </w:rPr>
              <w:t>Week 1 day 1</w:t>
            </w:r>
          </w:p>
        </w:tc>
        <w:tc>
          <w:tcPr>
            <w:tcW w:type="dxa" w:w="4392"/>
            <w:vAlign w:val="center"/>
            <w:tcMar>
              <w:top w:w="85" w:type="dxa"/>
              <w:left w:w="85" w:type="dxa"/>
              <w:bottom w:w="85" w:type="dxa"/>
              <w:right w:w="85" w:type="dxa"/>
            </w:tcMar>
            <w:shd w:fill="FFFFFF"/>
          </w:tcPr>
          <w:p>
            <w:pPr>
              <w:spacing w:after="40" w:before="20" w:line="252" w:lineRule="auto"/>
            </w:pPr>
            <w:r>
              <w:rPr>
                <w:rFonts w:ascii="Arial" w:hAnsi="Arial"/>
                <w:sz w:val="20"/>
              </w:rPr>
              <w:t>After induction: upper and lower jaws, the patient’s right and left, UR / UL / LR / LL, and numbers 1 to 8.</w:t>
            </w:r>
          </w:p>
        </w:tc>
        <w:tc>
          <w:tcPr>
            <w:tcW w:type="dxa" w:w="4205"/>
            <w:vAlign w:val="center"/>
            <w:tcMar>
              <w:top w:w="85" w:type="dxa"/>
              <w:left w:w="85" w:type="dxa"/>
              <w:bottom w:w="85" w:type="dxa"/>
              <w:right w:w="85" w:type="dxa"/>
            </w:tcMar>
            <w:shd w:fill="FFFFFF"/>
          </w:tcPr>
          <w:p>
            <w:pPr>
              <w:spacing w:after="40" w:before="20" w:line="252" w:lineRule="auto"/>
            </w:pPr>
            <w:r>
              <w:rPr>
                <w:rFonts w:ascii="Arial" w:hAnsi="Arial"/>
                <w:sz w:val="20"/>
              </w:rPr>
              <w:t>Point to and name UR6 and LL4 without reversing the patient’s sides.</w:t>
            </w:r>
          </w:p>
        </w:tc>
      </w:tr>
      <w:tr>
        <w:trPr>
          <w:cantSplit/>
        </w:trPr>
        <w:tc>
          <w:tcPr>
            <w:tcW w:type="dxa" w:w="1483"/>
            <w:vAlign w:val="center"/>
            <w:tcMar>
              <w:top w:w="85" w:type="dxa"/>
              <w:left w:w="85" w:type="dxa"/>
              <w:bottom w:w="85" w:type="dxa"/>
              <w:right w:w="85" w:type="dxa"/>
            </w:tcMar>
            <w:shd w:fill="F4F4F4"/>
          </w:tcPr>
          <w:p>
            <w:pPr>
              <w:spacing w:after="40" w:before="20" w:line="252" w:lineRule="auto"/>
              <w:jc w:val="center"/>
            </w:pPr>
            <w:r>
              <w:rPr>
                <w:rFonts w:ascii="Arial" w:hAnsi="Arial"/>
                <w:sz w:val="20"/>
              </w:rPr>
              <w:t>Week 1 day 2</w:t>
            </w:r>
          </w:p>
        </w:tc>
        <w:tc>
          <w:tcPr>
            <w:tcW w:type="dxa" w:w="4392"/>
            <w:vAlign w:val="center"/>
            <w:tcMar>
              <w:top w:w="85" w:type="dxa"/>
              <w:left w:w="85" w:type="dxa"/>
              <w:bottom w:w="85" w:type="dxa"/>
              <w:right w:w="85" w:type="dxa"/>
            </w:tcMar>
            <w:shd w:fill="F4F4F4"/>
          </w:tcPr>
          <w:p>
            <w:pPr>
              <w:spacing w:after="40" w:before="20" w:line="252" w:lineRule="auto"/>
            </w:pPr>
            <w:r>
              <w:rPr>
                <w:rFonts w:ascii="Arial" w:hAnsi="Arial"/>
                <w:sz w:val="20"/>
              </w:rPr>
              <w:t>Central and lateral incisors, canines, first and second premolars, first to third molars.</w:t>
            </w:r>
          </w:p>
        </w:tc>
        <w:tc>
          <w:tcPr>
            <w:tcW w:type="dxa" w:w="4205"/>
            <w:vAlign w:val="center"/>
            <w:tcMar>
              <w:top w:w="85" w:type="dxa"/>
              <w:left w:w="85" w:type="dxa"/>
              <w:bottom w:w="85" w:type="dxa"/>
              <w:right w:w="85" w:type="dxa"/>
            </w:tcMar>
            <w:shd w:fill="F4F4F4"/>
          </w:tcPr>
          <w:p>
            <w:pPr>
              <w:spacing w:after="40" w:before="20" w:line="252" w:lineRule="auto"/>
            </w:pPr>
            <w:r>
              <w:rPr>
                <w:rFonts w:ascii="Arial" w:hAnsi="Arial"/>
                <w:sz w:val="20"/>
              </w:rPr>
              <w:t>Match a tooth number to its name and position.</w:t>
            </w:r>
          </w:p>
        </w:tc>
      </w:tr>
      <w:tr>
        <w:trPr>
          <w:cantSplit/>
        </w:trPr>
        <w:tc>
          <w:tcPr>
            <w:tcW w:type="dxa" w:w="1483"/>
            <w:vAlign w:val="center"/>
            <w:tcMar>
              <w:top w:w="85" w:type="dxa"/>
              <w:left w:w="85" w:type="dxa"/>
              <w:bottom w:w="85" w:type="dxa"/>
              <w:right w:w="85" w:type="dxa"/>
            </w:tcMar>
            <w:shd w:fill="FFFFFF"/>
          </w:tcPr>
          <w:p>
            <w:pPr>
              <w:spacing w:after="40" w:before="20" w:line="252" w:lineRule="auto"/>
              <w:jc w:val="center"/>
            </w:pPr>
            <w:r>
              <w:rPr>
                <w:rFonts w:ascii="Arial" w:hAnsi="Arial"/>
                <w:sz w:val="20"/>
              </w:rPr>
              <w:t>Week 1 day 3</w:t>
            </w:r>
          </w:p>
        </w:tc>
        <w:tc>
          <w:tcPr>
            <w:tcW w:type="dxa" w:w="4392"/>
            <w:vAlign w:val="center"/>
            <w:tcMar>
              <w:top w:w="85" w:type="dxa"/>
              <w:left w:w="85" w:type="dxa"/>
              <w:bottom w:w="85" w:type="dxa"/>
              <w:right w:w="85" w:type="dxa"/>
            </w:tcMar>
            <w:shd w:fill="FFFFFF"/>
          </w:tcPr>
          <w:p>
            <w:pPr>
              <w:spacing w:after="40" w:before="20" w:line="252" w:lineRule="auto"/>
            </w:pPr>
            <w:r>
              <w:rPr>
                <w:rFonts w:ascii="Arial" w:hAnsi="Arial"/>
                <w:sz w:val="20"/>
              </w:rPr>
              <w:t>Crown, root, enamel, dentine, pulp, root canal, gingiva and supporting tissues.</w:t>
            </w:r>
          </w:p>
        </w:tc>
        <w:tc>
          <w:tcPr>
            <w:tcW w:type="dxa" w:w="4205"/>
            <w:vAlign w:val="center"/>
            <w:tcMar>
              <w:top w:w="85" w:type="dxa"/>
              <w:left w:w="85" w:type="dxa"/>
              <w:bottom w:w="85" w:type="dxa"/>
              <w:right w:w="85" w:type="dxa"/>
            </w:tcMar>
            <w:shd w:fill="FFFFFF"/>
          </w:tcPr>
          <w:p>
            <w:pPr>
              <w:spacing w:after="40" w:before="20" w:line="252" w:lineRule="auto"/>
            </w:pPr>
            <w:r>
              <w:rPr>
                <w:rFonts w:ascii="Arial" w:hAnsi="Arial"/>
                <w:sz w:val="20"/>
              </w:rPr>
              <w:t>Explain the main parts using a tooth model or diagram.</w:t>
            </w:r>
          </w:p>
        </w:tc>
      </w:tr>
      <w:tr>
        <w:trPr>
          <w:cantSplit/>
        </w:trPr>
        <w:tc>
          <w:tcPr>
            <w:tcW w:type="dxa" w:w="1483"/>
            <w:vAlign w:val="center"/>
            <w:tcMar>
              <w:top w:w="85" w:type="dxa"/>
              <w:left w:w="85" w:type="dxa"/>
              <w:bottom w:w="85" w:type="dxa"/>
              <w:right w:w="85" w:type="dxa"/>
            </w:tcMar>
            <w:shd w:fill="F4F4F4"/>
          </w:tcPr>
          <w:p>
            <w:pPr>
              <w:spacing w:after="40" w:before="20" w:line="252" w:lineRule="auto"/>
              <w:jc w:val="center"/>
            </w:pPr>
            <w:r>
              <w:rPr>
                <w:rFonts w:ascii="Arial" w:hAnsi="Arial"/>
                <w:sz w:val="20"/>
              </w:rPr>
              <w:t>Week 1 day 4</w:t>
            </w:r>
          </w:p>
        </w:tc>
        <w:tc>
          <w:tcPr>
            <w:tcW w:type="dxa" w:w="4392"/>
            <w:vAlign w:val="center"/>
            <w:tcMar>
              <w:top w:w="85" w:type="dxa"/>
              <w:left w:w="85" w:type="dxa"/>
              <w:bottom w:w="85" w:type="dxa"/>
              <w:right w:w="85" w:type="dxa"/>
            </w:tcMar>
            <w:shd w:fill="F4F4F4"/>
          </w:tcPr>
          <w:p>
            <w:pPr>
              <w:spacing w:after="40" w:before="20" w:line="252" w:lineRule="auto"/>
            </w:pPr>
            <w:r>
              <w:rPr>
                <w:rFonts w:ascii="Arial" w:hAnsi="Arial"/>
                <w:sz w:val="20"/>
              </w:rPr>
              <w:t>Mesial, distal, buccal, labial, lingual, palatal, occlusal and incisal.</w:t>
            </w:r>
          </w:p>
        </w:tc>
        <w:tc>
          <w:tcPr>
            <w:tcW w:type="dxa" w:w="4205"/>
            <w:vAlign w:val="center"/>
            <w:tcMar>
              <w:top w:w="85" w:type="dxa"/>
              <w:left w:w="85" w:type="dxa"/>
              <w:bottom w:w="85" w:type="dxa"/>
              <w:right w:w="85" w:type="dxa"/>
            </w:tcMar>
            <w:shd w:fill="F4F4F4"/>
          </w:tcPr>
          <w:p>
            <w:pPr>
              <w:spacing w:after="40" w:before="20" w:line="252" w:lineRule="auto"/>
            </w:pPr>
            <w:r>
              <w:rPr>
                <w:rFonts w:ascii="Arial" w:hAnsi="Arial"/>
                <w:sz w:val="20"/>
              </w:rPr>
              <w:t>Point to surfaces and explain O, MO, DO and MOD.</w:t>
            </w:r>
          </w:p>
        </w:tc>
      </w:tr>
      <w:tr>
        <w:trPr>
          <w:cantSplit/>
        </w:trPr>
        <w:tc>
          <w:tcPr>
            <w:tcW w:type="dxa" w:w="1483"/>
            <w:vAlign w:val="center"/>
            <w:tcMar>
              <w:top w:w="85" w:type="dxa"/>
              <w:left w:w="85" w:type="dxa"/>
              <w:bottom w:w="85" w:type="dxa"/>
              <w:right w:w="85" w:type="dxa"/>
            </w:tcMar>
            <w:shd w:fill="FFFFFF"/>
          </w:tcPr>
          <w:p>
            <w:pPr>
              <w:spacing w:after="40" w:before="20" w:line="252" w:lineRule="auto"/>
              <w:jc w:val="center"/>
            </w:pPr>
            <w:r>
              <w:rPr>
                <w:rFonts w:ascii="Arial" w:hAnsi="Arial"/>
                <w:sz w:val="20"/>
              </w:rPr>
              <w:t>Week 1 day 5</w:t>
            </w:r>
          </w:p>
        </w:tc>
        <w:tc>
          <w:tcPr>
            <w:tcW w:type="dxa" w:w="4392"/>
            <w:vAlign w:val="center"/>
            <w:tcMar>
              <w:top w:w="85" w:type="dxa"/>
              <w:left w:w="85" w:type="dxa"/>
              <w:bottom w:w="85" w:type="dxa"/>
              <w:right w:w="85" w:type="dxa"/>
            </w:tcMar>
            <w:shd w:fill="FFFFFF"/>
          </w:tcPr>
          <w:p>
            <w:pPr>
              <w:spacing w:after="40" w:before="20" w:line="252" w:lineRule="auto"/>
            </w:pPr>
            <w:r>
              <w:rPr>
                <w:rFonts w:ascii="Arial" w:hAnsi="Arial"/>
                <w:sz w:val="20"/>
              </w:rPr>
              <w:t>Combine tooth, surface and a dictated finding on a paper chart.</w:t>
            </w:r>
          </w:p>
        </w:tc>
        <w:tc>
          <w:tcPr>
            <w:tcW w:type="dxa" w:w="4205"/>
            <w:vAlign w:val="center"/>
            <w:tcMar>
              <w:top w:w="85" w:type="dxa"/>
              <w:left w:w="85" w:type="dxa"/>
              <w:bottom w:w="85" w:type="dxa"/>
              <w:right w:w="85" w:type="dxa"/>
            </w:tcMar>
            <w:shd w:fill="FFFFFF"/>
          </w:tcPr>
          <w:p>
            <w:pPr>
              <w:spacing w:after="40" w:before="20" w:line="252" w:lineRule="auto"/>
            </w:pPr>
            <w:r>
              <w:rPr>
                <w:rFonts w:ascii="Arial" w:hAnsi="Arial"/>
                <w:sz w:val="20"/>
              </w:rPr>
              <w:t>Read back the full tooth and surface; ask when information is missing.</w:t>
            </w:r>
          </w:p>
        </w:tc>
      </w:tr>
      <w:tr>
        <w:trPr>
          <w:cantSplit/>
        </w:trPr>
        <w:tc>
          <w:tcPr>
            <w:tcW w:type="dxa" w:w="1483"/>
            <w:vAlign w:val="center"/>
            <w:tcMar>
              <w:top w:w="85" w:type="dxa"/>
              <w:left w:w="85" w:type="dxa"/>
              <w:bottom w:w="85" w:type="dxa"/>
              <w:right w:w="85" w:type="dxa"/>
            </w:tcMar>
            <w:shd w:fill="F4F4F4"/>
          </w:tcPr>
          <w:p>
            <w:pPr>
              <w:spacing w:after="40" w:before="20" w:line="252" w:lineRule="auto"/>
              <w:jc w:val="center"/>
            </w:pPr>
            <w:r>
              <w:rPr>
                <w:rFonts w:ascii="Arial" w:hAnsi="Arial"/>
                <w:sz w:val="20"/>
              </w:rPr>
              <w:t>Week 2</w:t>
            </w:r>
          </w:p>
        </w:tc>
        <w:tc>
          <w:tcPr>
            <w:tcW w:type="dxa" w:w="4392"/>
            <w:vAlign w:val="center"/>
            <w:tcMar>
              <w:top w:w="85" w:type="dxa"/>
              <w:left w:w="85" w:type="dxa"/>
              <w:bottom w:w="85" w:type="dxa"/>
              <w:right w:w="85" w:type="dxa"/>
            </w:tcMar>
            <w:shd w:fill="F4F4F4"/>
          </w:tcPr>
          <w:p>
            <w:pPr>
              <w:spacing w:after="40" w:before="20" w:line="252" w:lineRule="auto"/>
            </w:pPr>
            <w:r>
              <w:rPr>
                <w:rFonts w:ascii="Arial" w:hAnsi="Arial"/>
                <w:sz w:val="20"/>
              </w:rPr>
              <w:t>Filling, decay, crown, extraction and retained root. EXACT Base, planned COT and completed treatment.</w:t>
            </w:r>
          </w:p>
        </w:tc>
        <w:tc>
          <w:tcPr>
            <w:tcW w:type="dxa" w:w="4205"/>
            <w:vAlign w:val="center"/>
            <w:tcMar>
              <w:top w:w="85" w:type="dxa"/>
              <w:left w:w="85" w:type="dxa"/>
              <w:bottom w:w="85" w:type="dxa"/>
              <w:right w:w="85" w:type="dxa"/>
            </w:tcMar>
            <w:shd w:fill="F4F4F4"/>
          </w:tcPr>
          <w:p>
            <w:pPr>
              <w:spacing w:after="40" w:before="20" w:line="252" w:lineRule="auto"/>
            </w:pPr>
            <w:r>
              <w:rPr>
                <w:rFonts w:ascii="Arial" w:hAnsi="Arial"/>
                <w:sz w:val="20"/>
              </w:rPr>
              <w:t>Enter supervised demonstration cases with the correct tooth, surface, finding and status.</w:t>
            </w:r>
          </w:p>
        </w:tc>
      </w:tr>
      <w:tr>
        <w:trPr>
          <w:cantSplit/>
        </w:trPr>
        <w:tc>
          <w:tcPr>
            <w:tcW w:type="dxa" w:w="1483"/>
            <w:vAlign w:val="center"/>
            <w:tcMar>
              <w:top w:w="85" w:type="dxa"/>
              <w:left w:w="85" w:type="dxa"/>
              <w:bottom w:w="85" w:type="dxa"/>
              <w:right w:w="85" w:type="dxa"/>
            </w:tcMar>
            <w:shd w:fill="FFFFFF"/>
          </w:tcPr>
          <w:p>
            <w:pPr>
              <w:spacing w:after="40" w:before="20" w:line="252" w:lineRule="auto"/>
              <w:jc w:val="center"/>
            </w:pPr>
            <w:r>
              <w:rPr>
                <w:rFonts w:ascii="Arial" w:hAnsi="Arial"/>
                <w:sz w:val="20"/>
              </w:rPr>
              <w:t>Week 3</w:t>
            </w:r>
          </w:p>
        </w:tc>
        <w:tc>
          <w:tcPr>
            <w:tcW w:type="dxa" w:w="4392"/>
            <w:vAlign w:val="center"/>
            <w:tcMar>
              <w:top w:w="85" w:type="dxa"/>
              <w:left w:w="85" w:type="dxa"/>
              <w:bottom w:w="85" w:type="dxa"/>
              <w:right w:w="85" w:type="dxa"/>
            </w:tcMar>
            <w:shd w:fill="FFFFFF"/>
          </w:tcPr>
          <w:p>
            <w:pPr>
              <w:spacing w:after="40" w:before="20" w:line="252" w:lineRule="auto"/>
            </w:pPr>
            <w:r>
              <w:rPr>
                <w:rFonts w:ascii="Arial" w:hAnsi="Arial"/>
                <w:sz w:val="20"/>
              </w:rPr>
              <w:t>BPE screening, sextants, six-point periodontal charting and the local EXACT entry method.</w:t>
            </w:r>
          </w:p>
        </w:tc>
        <w:tc>
          <w:tcPr>
            <w:tcW w:type="dxa" w:w="4205"/>
            <w:vAlign w:val="center"/>
            <w:tcMar>
              <w:top w:w="85" w:type="dxa"/>
              <w:left w:w="85" w:type="dxa"/>
              <w:bottom w:w="85" w:type="dxa"/>
              <w:right w:w="85" w:type="dxa"/>
            </w:tcMar>
            <w:shd w:fill="FFFFFF"/>
          </w:tcPr>
          <w:p>
            <w:pPr>
              <w:spacing w:after="40" w:before="20" w:line="252" w:lineRule="auto"/>
            </w:pPr>
            <w:r>
              <w:rPr>
                <w:rFonts w:ascii="Arial" w:hAnsi="Arial"/>
                <w:sz w:val="20"/>
              </w:rPr>
              <w:t>Record dictated values without shifting sites, guessing or converting BPE scores into millimetres.</w:t>
            </w:r>
          </w:p>
        </w:tc>
      </w:tr>
      <w:tr>
        <w:trPr>
          <w:cantSplit/>
        </w:trPr>
        <w:tc>
          <w:tcPr>
            <w:tcW w:type="dxa" w:w="1483"/>
            <w:vAlign w:val="center"/>
            <w:tcMar>
              <w:top w:w="85" w:type="dxa"/>
              <w:left w:w="85" w:type="dxa"/>
              <w:bottom w:w="85" w:type="dxa"/>
              <w:right w:w="85" w:type="dxa"/>
            </w:tcMar>
            <w:shd w:fill="F4F4F4"/>
          </w:tcPr>
          <w:p>
            <w:pPr>
              <w:spacing w:after="40" w:before="20" w:line="252" w:lineRule="auto"/>
              <w:jc w:val="center"/>
            </w:pPr>
            <w:r>
              <w:rPr>
                <w:rFonts w:ascii="Arial" w:hAnsi="Arial"/>
                <w:sz w:val="20"/>
              </w:rPr>
              <w:t>Week 4</w:t>
            </w:r>
          </w:p>
        </w:tc>
        <w:tc>
          <w:tcPr>
            <w:tcW w:type="dxa" w:w="4392"/>
            <w:vAlign w:val="center"/>
            <w:tcMar>
              <w:top w:w="85" w:type="dxa"/>
              <w:left w:w="85" w:type="dxa"/>
              <w:bottom w:w="85" w:type="dxa"/>
              <w:right w:w="85" w:type="dxa"/>
            </w:tcMar>
            <w:shd w:fill="F4F4F4"/>
          </w:tcPr>
          <w:p>
            <w:pPr>
              <w:spacing w:after="40" w:before="20" w:line="252" w:lineRule="auto"/>
            </w:pPr>
            <w:r>
              <w:rPr>
                <w:rFonts w:ascii="Arial" w:hAnsi="Arial"/>
                <w:sz w:val="20"/>
              </w:rPr>
              <w:t>Amalgam, GIC, composite, crown, extraction and root canal. Watch the matching S3 setup clips after each explanation.</w:t>
            </w:r>
          </w:p>
        </w:tc>
        <w:tc>
          <w:tcPr>
            <w:tcW w:type="dxa" w:w="4205"/>
            <w:vAlign w:val="center"/>
            <w:tcMar>
              <w:top w:w="85" w:type="dxa"/>
              <w:left w:w="85" w:type="dxa"/>
              <w:bottom w:w="85" w:type="dxa"/>
              <w:right w:w="85" w:type="dxa"/>
            </w:tcMar>
            <w:shd w:fill="F4F4F4"/>
          </w:tcPr>
          <w:p>
            <w:pPr>
              <w:spacing w:after="40" w:before="20" w:line="252" w:lineRule="auto"/>
            </w:pPr>
            <w:r>
              <w:rPr>
                <w:rFonts w:ascii="Arial" w:hAnsi="Arial"/>
                <w:sz w:val="20"/>
              </w:rPr>
              <w:t>Explain each treatment in plain language, identify the main tray items and describe the nurse’s taught role.</w:t>
            </w:r>
          </w:p>
        </w:tc>
      </w:tr>
    </w:tbl>
    <w:p>
      <w:pPr>
        <w:spacing w:after="0"/>
      </w:pPr>
      <w:r>
        <w:rPr>
          <w:b w:val="0"/>
        </w:rPr>
      </w:r>
    </w:p>
    <w:p>
      <w:pPr>
        <w:pStyle w:val="Heading2"/>
      </w:pPr>
      <w:r>
        <w:t>How to teach each new topic</w:t>
      </w:r>
    </w:p>
    <w:p>
      <w:r>
        <w:rPr>
          <w:b w:val="0"/>
        </w:rPr>
        <w:t>Explain the purpose, show an example, demonstrate slowly, let the learner practise and ask them to explain it back. Give specific feedback on the task. Use fictitious cases for drills; never add practice findings to a real patient record.</w:t>
      </w:r>
    </w:p>
    <w:p>
      <w:pPr>
        <w:spacing w:before="100"/>
      </w:pPr>
      <w:r>
        <w:rPr>
          <w:b w:val="0"/>
          <w:color w:val="444444"/>
          <w:sz w:val="19"/>
        </w:rPr>
        <w:t>These are teaching targets. Adjust the pace to the individual learner and the formal course. Equipment sessions can be added when relevant without displacing the basic knowledge sequence.</w:t>
      </w:r>
    </w:p>
    <w:p>
      <w:pPr>
        <w:pStyle w:val="Heading1"/>
        <w:pageBreakBefore/>
      </w:pPr>
      <w:r>
        <w:t>Weeks five to twelve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3384"/>
        <w:gridCol w:w="5256"/>
      </w:tblGrid>
      <w:tr>
        <w:trPr>
          <w:tblHeader/>
          <w:cantSplit/>
        </w:trPr>
        <w:tc>
          <w:tcPr>
            <w:tcW w:type="dxa" w:w="1440"/>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When</w:t>
            </w:r>
          </w:p>
        </w:tc>
        <w:tc>
          <w:tcPr>
            <w:tcW w:type="dxa" w:w="3384"/>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Main focus</w:t>
            </w:r>
          </w:p>
        </w:tc>
        <w:tc>
          <w:tcPr>
            <w:tcW w:type="dxa" w:w="5256"/>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Practical outcome under supervision</w:t>
            </w:r>
          </w:p>
        </w:tc>
      </w:tr>
      <w:tr>
        <w:trPr>
          <w:cantSplit/>
        </w:trPr>
        <w:tc>
          <w:tcPr>
            <w:tcW w:type="dxa" w:w="1440"/>
            <w:vAlign w:val="center"/>
            <w:tcMar>
              <w:top w:w="85" w:type="dxa"/>
              <w:left w:w="85" w:type="dxa"/>
              <w:bottom w:w="85" w:type="dxa"/>
              <w:right w:w="85" w:type="dxa"/>
            </w:tcMar>
            <w:shd w:fill="FFFFFF"/>
          </w:tcPr>
          <w:p>
            <w:pPr>
              <w:spacing w:after="40" w:before="20" w:line="252" w:lineRule="auto"/>
              <w:jc w:val="center"/>
            </w:pPr>
            <w:r>
              <w:rPr>
                <w:rFonts w:ascii="Arial" w:hAnsi="Arial"/>
                <w:sz w:val="20"/>
              </w:rPr>
              <w:t>Week 5</w:t>
            </w:r>
          </w:p>
        </w:tc>
        <w:tc>
          <w:tcPr>
            <w:tcW w:type="dxa" w:w="3384"/>
            <w:vAlign w:val="center"/>
            <w:tcMar>
              <w:top w:w="85" w:type="dxa"/>
              <w:left w:w="85" w:type="dxa"/>
              <w:bottom w:w="85" w:type="dxa"/>
              <w:right w:w="85" w:type="dxa"/>
            </w:tcMar>
            <w:shd w:fill="FFFFFF"/>
          </w:tcPr>
          <w:p>
            <w:pPr>
              <w:spacing w:after="40" w:before="20" w:line="252" w:lineRule="auto"/>
            </w:pPr>
            <w:r>
              <w:rPr>
                <w:rFonts w:ascii="Arial" w:hAnsi="Arial"/>
                <w:sz w:val="20"/>
              </w:rPr>
              <w:t>Routine examinations and patient communication.</w:t>
            </w:r>
          </w:p>
        </w:tc>
        <w:tc>
          <w:tcPr>
            <w:tcW w:type="dxa" w:w="5256"/>
            <w:vAlign w:val="center"/>
            <w:tcMar>
              <w:top w:w="85" w:type="dxa"/>
              <w:left w:w="85" w:type="dxa"/>
              <w:bottom w:w="85" w:type="dxa"/>
              <w:right w:w="85" w:type="dxa"/>
            </w:tcMar>
            <w:shd w:fill="FFFFFF"/>
          </w:tcPr>
          <w:p>
            <w:pPr>
              <w:spacing w:after="40" w:before="20" w:line="252" w:lineRule="auto"/>
            </w:pPr>
            <w:r>
              <w:rPr>
                <w:rFonts w:ascii="Arial" w:hAnsi="Arial"/>
                <w:sz w:val="20"/>
              </w:rPr>
              <w:t>Prepare an examination setup, introduce the trainee role, record dictated charting and support comfort and privacy.</w:t>
            </w:r>
          </w:p>
        </w:tc>
      </w:tr>
      <w:tr>
        <w:trPr>
          <w:cantSplit/>
        </w:trPr>
        <w:tc>
          <w:tcPr>
            <w:tcW w:type="dxa" w:w="1440"/>
            <w:vAlign w:val="center"/>
            <w:tcMar>
              <w:top w:w="85" w:type="dxa"/>
              <w:left w:w="85" w:type="dxa"/>
              <w:bottom w:w="85" w:type="dxa"/>
              <w:right w:w="85" w:type="dxa"/>
            </w:tcMar>
            <w:shd w:fill="F4F4F4"/>
          </w:tcPr>
          <w:p>
            <w:pPr>
              <w:spacing w:after="40" w:before="20" w:line="252" w:lineRule="auto"/>
              <w:jc w:val="center"/>
            </w:pPr>
            <w:r>
              <w:rPr>
                <w:rFonts w:ascii="Arial" w:hAnsi="Arial"/>
                <w:sz w:val="20"/>
              </w:rPr>
              <w:t>Week 6</w:t>
            </w:r>
          </w:p>
        </w:tc>
        <w:tc>
          <w:tcPr>
            <w:tcW w:type="dxa" w:w="3384"/>
            <w:vAlign w:val="center"/>
            <w:tcMar>
              <w:top w:w="85" w:type="dxa"/>
              <w:left w:w="85" w:type="dxa"/>
              <w:bottom w:w="85" w:type="dxa"/>
              <w:right w:w="85" w:type="dxa"/>
            </w:tcMar>
            <w:shd w:fill="F4F4F4"/>
          </w:tcPr>
          <w:p>
            <w:pPr>
              <w:spacing w:after="40" w:before="20" w:line="252" w:lineRule="auto"/>
            </w:pPr>
            <w:r>
              <w:rPr>
                <w:rFonts w:ascii="Arial" w:hAnsi="Arial"/>
                <w:sz w:val="20"/>
              </w:rPr>
              <w:t>Straightforward restorative appointments.</w:t>
            </w:r>
          </w:p>
        </w:tc>
        <w:tc>
          <w:tcPr>
            <w:tcW w:type="dxa" w:w="5256"/>
            <w:vAlign w:val="center"/>
            <w:tcMar>
              <w:top w:w="85" w:type="dxa"/>
              <w:left w:w="85" w:type="dxa"/>
              <w:bottom w:w="85" w:type="dxa"/>
              <w:right w:w="85" w:type="dxa"/>
            </w:tcMar>
            <w:shd w:fill="F4F4F4"/>
          </w:tcPr>
          <w:p>
            <w:pPr>
              <w:spacing w:after="40" w:before="20" w:line="252" w:lineRule="auto"/>
            </w:pPr>
            <w:r>
              <w:rPr>
                <w:rFonts w:ascii="Arial" w:hAnsi="Arial"/>
                <w:sz w:val="20"/>
              </w:rPr>
              <w:t>Recognise the selected filling material, prepare taught items and assist with authorised suction, passing and turnover tasks.</w:t>
            </w:r>
          </w:p>
        </w:tc>
      </w:tr>
      <w:tr>
        <w:trPr>
          <w:cantSplit/>
        </w:trPr>
        <w:tc>
          <w:tcPr>
            <w:tcW w:type="dxa" w:w="1440"/>
            <w:vAlign w:val="center"/>
            <w:tcMar>
              <w:top w:w="85" w:type="dxa"/>
              <w:left w:w="85" w:type="dxa"/>
              <w:bottom w:w="85" w:type="dxa"/>
              <w:right w:w="85" w:type="dxa"/>
            </w:tcMar>
            <w:shd w:fill="FFFFFF"/>
          </w:tcPr>
          <w:p>
            <w:pPr>
              <w:spacing w:after="40" w:before="20" w:line="252" w:lineRule="auto"/>
              <w:jc w:val="center"/>
            </w:pPr>
            <w:r>
              <w:rPr>
                <w:rFonts w:ascii="Arial" w:hAnsi="Arial"/>
                <w:sz w:val="20"/>
              </w:rPr>
              <w:t>Week 7</w:t>
            </w:r>
          </w:p>
        </w:tc>
        <w:tc>
          <w:tcPr>
            <w:tcW w:type="dxa" w:w="3384"/>
            <w:vAlign w:val="center"/>
            <w:tcMar>
              <w:top w:w="85" w:type="dxa"/>
              <w:left w:w="85" w:type="dxa"/>
              <w:bottom w:w="85" w:type="dxa"/>
              <w:right w:w="85" w:type="dxa"/>
            </w:tcMar>
            <w:shd w:fill="FFFFFF"/>
          </w:tcPr>
          <w:p>
            <w:pPr>
              <w:spacing w:after="40" w:before="20" w:line="252" w:lineRule="auto"/>
            </w:pPr>
            <w:r>
              <w:rPr>
                <w:rFonts w:ascii="Arial" w:hAnsi="Arial"/>
                <w:sz w:val="20"/>
              </w:rPr>
              <w:t>Surgery routines, stock and instrument processing.</w:t>
            </w:r>
          </w:p>
        </w:tc>
        <w:tc>
          <w:tcPr>
            <w:tcW w:type="dxa" w:w="5256"/>
            <w:vAlign w:val="center"/>
            <w:tcMar>
              <w:top w:w="85" w:type="dxa"/>
              <w:left w:w="85" w:type="dxa"/>
              <w:bottom w:w="85" w:type="dxa"/>
              <w:right w:w="85" w:type="dxa"/>
            </w:tcMar>
            <w:shd w:fill="FFFFFF"/>
          </w:tcPr>
          <w:p>
            <w:pPr>
              <w:spacing w:after="40" w:before="20" w:line="252" w:lineRule="auto"/>
            </w:pPr>
            <w:r>
              <w:rPr>
                <w:rFonts w:ascii="Arial" w:hAnsi="Arial"/>
                <w:sz w:val="20"/>
              </w:rPr>
              <w:t>Repeat setup and closing routines; check stock and expiry dates; practise only specifically taught decontamination tasks.</w:t>
            </w:r>
          </w:p>
        </w:tc>
      </w:tr>
      <w:tr>
        <w:trPr>
          <w:cantSplit/>
        </w:trPr>
        <w:tc>
          <w:tcPr>
            <w:tcW w:type="dxa" w:w="1440"/>
            <w:vAlign w:val="center"/>
            <w:tcMar>
              <w:top w:w="85" w:type="dxa"/>
              <w:left w:w="85" w:type="dxa"/>
              <w:bottom w:w="85" w:type="dxa"/>
              <w:right w:w="85" w:type="dxa"/>
            </w:tcMar>
            <w:shd w:fill="F4F4F4"/>
          </w:tcPr>
          <w:p>
            <w:pPr>
              <w:spacing w:after="40" w:before="20" w:line="252" w:lineRule="auto"/>
              <w:jc w:val="center"/>
            </w:pPr>
            <w:r>
              <w:rPr>
                <w:rFonts w:ascii="Arial" w:hAnsi="Arial"/>
                <w:sz w:val="20"/>
              </w:rPr>
              <w:t>Week 8</w:t>
            </w:r>
          </w:p>
        </w:tc>
        <w:tc>
          <w:tcPr>
            <w:tcW w:type="dxa" w:w="3384"/>
            <w:vAlign w:val="center"/>
            <w:tcMar>
              <w:top w:w="85" w:type="dxa"/>
              <w:left w:w="85" w:type="dxa"/>
              <w:bottom w:w="85" w:type="dxa"/>
              <w:right w:w="85" w:type="dxa"/>
            </w:tcMar>
            <w:shd w:fill="F4F4F4"/>
          </w:tcPr>
          <w:p>
            <w:pPr>
              <w:spacing w:after="40" w:before="20" w:line="252" w:lineRule="auto"/>
            </w:pPr>
            <w:r>
              <w:rPr>
                <w:rFonts w:ascii="Arial" w:hAnsi="Arial"/>
                <w:sz w:val="20"/>
              </w:rPr>
              <w:t>Periodontal appointment support.</w:t>
            </w:r>
          </w:p>
        </w:tc>
        <w:tc>
          <w:tcPr>
            <w:tcW w:type="dxa" w:w="5256"/>
            <w:vAlign w:val="center"/>
            <w:tcMar>
              <w:top w:w="85" w:type="dxa"/>
              <w:left w:w="85" w:type="dxa"/>
              <w:bottom w:w="85" w:type="dxa"/>
              <w:right w:w="85" w:type="dxa"/>
            </w:tcMar>
            <w:shd w:fill="F4F4F4"/>
          </w:tcPr>
          <w:p>
            <w:pPr>
              <w:spacing w:after="40" w:before="20" w:line="252" w:lineRule="auto"/>
            </w:pPr>
            <w:r>
              <w:rPr>
                <w:rFonts w:ascii="Arial" w:hAnsi="Arial"/>
                <w:sz w:val="20"/>
              </w:rPr>
              <w:t>Record BPE or a six-point chart requested by the clinician, support the appointment and learn the EMS components used locally.</w:t>
            </w:r>
          </w:p>
        </w:tc>
      </w:tr>
      <w:tr>
        <w:trPr>
          <w:cantSplit/>
        </w:trPr>
        <w:tc>
          <w:tcPr>
            <w:tcW w:type="dxa" w:w="1440"/>
            <w:vAlign w:val="center"/>
            <w:tcMar>
              <w:top w:w="85" w:type="dxa"/>
              <w:left w:w="85" w:type="dxa"/>
              <w:bottom w:w="85" w:type="dxa"/>
              <w:right w:w="85" w:type="dxa"/>
            </w:tcMar>
            <w:shd w:fill="FFFFFF"/>
          </w:tcPr>
          <w:p>
            <w:pPr>
              <w:spacing w:after="40" w:before="20" w:line="252" w:lineRule="auto"/>
              <w:jc w:val="center"/>
            </w:pPr>
            <w:r>
              <w:rPr>
                <w:rFonts w:ascii="Arial" w:hAnsi="Arial"/>
                <w:sz w:val="20"/>
              </w:rPr>
              <w:t>Week 9</w:t>
            </w:r>
          </w:p>
        </w:tc>
        <w:tc>
          <w:tcPr>
            <w:tcW w:type="dxa" w:w="3384"/>
            <w:vAlign w:val="center"/>
            <w:tcMar>
              <w:top w:w="85" w:type="dxa"/>
              <w:left w:w="85" w:type="dxa"/>
              <w:bottom w:w="85" w:type="dxa"/>
              <w:right w:w="85" w:type="dxa"/>
            </w:tcMar>
            <w:shd w:fill="FFFFFF"/>
          </w:tcPr>
          <w:p>
            <w:pPr>
              <w:spacing w:after="40" w:before="20" w:line="252" w:lineRule="auto"/>
            </w:pPr>
            <w:r>
              <w:rPr>
                <w:rFonts w:ascii="Arial" w:hAnsi="Arial"/>
                <w:sz w:val="20"/>
              </w:rPr>
              <w:t>Crown appointments and laboratory work.</w:t>
            </w:r>
          </w:p>
        </w:tc>
        <w:tc>
          <w:tcPr>
            <w:tcW w:type="dxa" w:w="5256"/>
            <w:vAlign w:val="center"/>
            <w:tcMar>
              <w:top w:w="85" w:type="dxa"/>
              <w:left w:w="85" w:type="dxa"/>
              <w:bottom w:w="85" w:type="dxa"/>
              <w:right w:w="85" w:type="dxa"/>
            </w:tcMar>
            <w:shd w:fill="FFFFFF"/>
          </w:tcPr>
          <w:p>
            <w:pPr>
              <w:spacing w:after="40" w:before="20" w:line="252" w:lineRule="auto"/>
            </w:pPr>
            <w:r>
              <w:rPr>
                <w:rFonts w:ascii="Arial" w:hAnsi="Arial"/>
                <w:sz w:val="20"/>
              </w:rPr>
              <w:t>Distinguish preparation from fitting, follow item identification and laboratory tracking, and observe scanning where suitable.</w:t>
            </w:r>
          </w:p>
        </w:tc>
      </w:tr>
      <w:tr>
        <w:trPr>
          <w:cantSplit/>
        </w:trPr>
        <w:tc>
          <w:tcPr>
            <w:tcW w:type="dxa" w:w="1440"/>
            <w:vAlign w:val="center"/>
            <w:tcMar>
              <w:top w:w="85" w:type="dxa"/>
              <w:left w:w="85" w:type="dxa"/>
              <w:bottom w:w="85" w:type="dxa"/>
              <w:right w:w="85" w:type="dxa"/>
            </w:tcMar>
            <w:shd w:fill="F4F4F4"/>
          </w:tcPr>
          <w:p>
            <w:pPr>
              <w:spacing w:after="40" w:before="20" w:line="252" w:lineRule="auto"/>
              <w:jc w:val="center"/>
            </w:pPr>
            <w:r>
              <w:rPr>
                <w:rFonts w:ascii="Arial" w:hAnsi="Arial"/>
                <w:sz w:val="20"/>
              </w:rPr>
              <w:t>Week 10</w:t>
            </w:r>
          </w:p>
        </w:tc>
        <w:tc>
          <w:tcPr>
            <w:tcW w:type="dxa" w:w="3384"/>
            <w:vAlign w:val="center"/>
            <w:tcMar>
              <w:top w:w="85" w:type="dxa"/>
              <w:left w:w="85" w:type="dxa"/>
              <w:bottom w:w="85" w:type="dxa"/>
              <w:right w:w="85" w:type="dxa"/>
            </w:tcMar>
            <w:shd w:fill="F4F4F4"/>
          </w:tcPr>
          <w:p>
            <w:pPr>
              <w:spacing w:after="40" w:before="20" w:line="252" w:lineRule="auto"/>
            </w:pPr>
            <w:r>
              <w:rPr>
                <w:rFonts w:ascii="Arial" w:hAnsi="Arial"/>
                <w:sz w:val="20"/>
              </w:rPr>
              <w:t>Root canal and extraction support.</w:t>
            </w:r>
          </w:p>
        </w:tc>
        <w:tc>
          <w:tcPr>
            <w:tcW w:type="dxa" w:w="5256"/>
            <w:vAlign w:val="center"/>
            <w:tcMar>
              <w:top w:w="85" w:type="dxa"/>
              <w:left w:w="85" w:type="dxa"/>
              <w:bottom w:w="85" w:type="dxa"/>
              <w:right w:w="85" w:type="dxa"/>
            </w:tcMar>
            <w:shd w:fill="F4F4F4"/>
          </w:tcPr>
          <w:p>
            <w:pPr>
              <w:spacing w:after="40" w:before="20" w:line="252" w:lineRule="auto"/>
            </w:pPr>
            <w:r>
              <w:rPr>
                <w:rFonts w:ascii="Arial" w:hAnsi="Arial"/>
                <w:sz w:val="20"/>
              </w:rPr>
              <w:t>Observe the sequence and practise defined tasks once taught; identify additional sharps, chemical and isolation precautions.</w:t>
            </w:r>
          </w:p>
        </w:tc>
      </w:tr>
      <w:tr>
        <w:trPr>
          <w:cantSplit/>
        </w:trPr>
        <w:tc>
          <w:tcPr>
            <w:tcW w:type="dxa" w:w="1440"/>
            <w:vAlign w:val="center"/>
            <w:tcMar>
              <w:top w:w="85" w:type="dxa"/>
              <w:left w:w="85" w:type="dxa"/>
              <w:bottom w:w="85" w:type="dxa"/>
              <w:right w:w="85" w:type="dxa"/>
            </w:tcMar>
            <w:shd w:fill="FFFFFF"/>
          </w:tcPr>
          <w:p>
            <w:pPr>
              <w:spacing w:after="40" w:before="20" w:line="252" w:lineRule="auto"/>
              <w:jc w:val="center"/>
            </w:pPr>
            <w:r>
              <w:rPr>
                <w:rFonts w:ascii="Arial" w:hAnsi="Arial"/>
                <w:sz w:val="20"/>
              </w:rPr>
              <w:t>Week 11</w:t>
            </w:r>
          </w:p>
        </w:tc>
        <w:tc>
          <w:tcPr>
            <w:tcW w:type="dxa" w:w="3384"/>
            <w:vAlign w:val="center"/>
            <w:tcMar>
              <w:top w:w="85" w:type="dxa"/>
              <w:left w:w="85" w:type="dxa"/>
              <w:bottom w:w="85" w:type="dxa"/>
              <w:right w:w="85" w:type="dxa"/>
            </w:tcMar>
            <w:shd w:fill="FFFFFF"/>
          </w:tcPr>
          <w:p>
            <w:pPr>
              <w:spacing w:after="40" w:before="20" w:line="252" w:lineRule="auto"/>
            </w:pPr>
            <w:r>
              <w:rPr>
                <w:rFonts w:ascii="Arial" w:hAnsi="Arial"/>
                <w:sz w:val="20"/>
              </w:rPr>
              <w:t>Organising a suitable routine session.</w:t>
            </w:r>
          </w:p>
        </w:tc>
        <w:tc>
          <w:tcPr>
            <w:tcW w:type="dxa" w:w="5256"/>
            <w:vAlign w:val="center"/>
            <w:tcMar>
              <w:top w:w="85" w:type="dxa"/>
              <w:left w:w="85" w:type="dxa"/>
              <w:bottom w:w="85" w:type="dxa"/>
              <w:right w:w="85" w:type="dxa"/>
            </w:tcMar>
            <w:shd w:fill="FFFFFF"/>
          </w:tcPr>
          <w:p>
            <w:pPr>
              <w:spacing w:after="40" w:before="20" w:line="252" w:lineRule="auto"/>
            </w:pPr>
            <w:r>
              <w:rPr>
                <w:rFonts w:ascii="Arial" w:hAnsi="Arial"/>
                <w:sz w:val="20"/>
              </w:rPr>
              <w:t>Prepare ahead, share duties fairly, communicate delays and give a clear handover of unfinished work.</w:t>
            </w:r>
          </w:p>
        </w:tc>
      </w:tr>
      <w:tr>
        <w:trPr>
          <w:cantSplit/>
        </w:trPr>
        <w:tc>
          <w:tcPr>
            <w:tcW w:type="dxa" w:w="1440"/>
            <w:vAlign w:val="center"/>
            <w:tcMar>
              <w:top w:w="85" w:type="dxa"/>
              <w:left w:w="85" w:type="dxa"/>
              <w:bottom w:w="85" w:type="dxa"/>
              <w:right w:w="85" w:type="dxa"/>
            </w:tcMar>
            <w:shd w:fill="F4F4F4"/>
          </w:tcPr>
          <w:p>
            <w:pPr>
              <w:spacing w:after="40" w:before="20" w:line="252" w:lineRule="auto"/>
              <w:jc w:val="center"/>
            </w:pPr>
            <w:r>
              <w:rPr>
                <w:rFonts w:ascii="Arial" w:hAnsi="Arial"/>
                <w:sz w:val="20"/>
              </w:rPr>
              <w:t>Week 12</w:t>
            </w:r>
          </w:p>
        </w:tc>
        <w:tc>
          <w:tcPr>
            <w:tcW w:type="dxa" w:w="3384"/>
            <w:vAlign w:val="center"/>
            <w:tcMar>
              <w:top w:w="85" w:type="dxa"/>
              <w:left w:w="85" w:type="dxa"/>
              <w:bottom w:w="85" w:type="dxa"/>
              <w:right w:w="85" w:type="dxa"/>
            </w:tcMar>
            <w:shd w:fill="F4F4F4"/>
          </w:tcPr>
          <w:p>
            <w:pPr>
              <w:spacing w:after="40" w:before="20" w:line="252" w:lineRule="auto"/>
            </w:pPr>
            <w:r>
              <w:rPr>
                <w:rFonts w:ascii="Arial" w:hAnsi="Arial"/>
                <w:sz w:val="20"/>
              </w:rPr>
              <w:t>Demonstrating the foundations.</w:t>
            </w:r>
          </w:p>
        </w:tc>
        <w:tc>
          <w:tcPr>
            <w:tcW w:type="dxa" w:w="5256"/>
            <w:vAlign w:val="center"/>
            <w:tcMar>
              <w:top w:w="85" w:type="dxa"/>
              <w:left w:w="85" w:type="dxa"/>
              <w:bottom w:w="85" w:type="dxa"/>
              <w:right w:w="85" w:type="dxa"/>
            </w:tcMar>
            <w:shd w:fill="F4F4F4"/>
          </w:tcPr>
          <w:p>
            <w:pPr>
              <w:spacing w:after="40" w:before="20" w:line="252" w:lineRule="auto"/>
            </w:pPr>
            <w:r>
              <w:rPr>
                <w:rFonts w:ascii="Arial" w:hAnsi="Arial"/>
                <w:sz w:val="20"/>
              </w:rPr>
              <w:t>Demonstrate core charting and nursing tasks, practise the emergency role and record the next skills that need teaching.</w:t>
            </w:r>
          </w:p>
        </w:tc>
      </w:tr>
    </w:tbl>
    <w:p>
      <w:pPr>
        <w:spacing w:after="0"/>
      </w:pPr>
      <w:r>
        <w:rPr>
          <w:b w:val="0"/>
        </w:rPr>
      </w:r>
    </w:p>
    <w:p>
      <w:pPr>
        <w:pStyle w:val="Heading2"/>
      </w:pPr>
      <w:r>
        <w:t>Practical work develops alongside knowledge</w:t>
      </w:r>
    </w:p>
    <w:p>
      <w:r>
        <w:rPr>
          <w:b w:val="0"/>
        </w:rPr>
        <w:t>Introduce examination instruments, safe handling, surgery preparation and turnover as soon as the necessary teaching and safety prerequisites are complete. Demonstrate the local route for contaminated instruments, cleaning, inspection, sterilisation and storage before allocating any part of that process.</w:t>
      </w:r>
    </w:p>
    <w:p>
      <w:r>
        <w:rPr>
          <w:b w:val="0"/>
        </w:rPr>
        <w:t>A trainee may understand a treatment before being ready to assist throughout the appointment. Authorise each task separately. Observation alone does not establish competence, and completion of week 12 does not permit unsupervised practice.</w:t>
      </w:r>
    </w:p>
    <w:p>
      <w:pPr>
        <w:pStyle w:val="Heading2"/>
      </w:pPr>
      <w:r>
        <w:t>Foundation words to recognise</w:t>
      </w:r>
    </w:p>
    <w:p>
      <w:r>
        <w:rPr>
          <w:b w:val="0"/>
        </w:rPr>
        <w:t>Mirror, periodontal probe, tweezers, tray, suction, handpiece, bur, cotton roll, matrix, wedge, curing light, rubber dam, decontamination, sterilisation, sharps and local anaesthetic. The trainer should show the actual item and explain its purpose and hazards.</w:t>
      </w:r>
    </w:p>
    <w:p>
      <w:pPr>
        <w:pStyle w:val="Heading1"/>
        <w:pageBreakBefore/>
      </w:pPr>
      <w:r>
        <w:t>Tooth numbers and tooth names</w:t>
      </w:r>
    </w:p>
    <w:p>
      <w:r>
        <w:rPr>
          <w:b w:val="0"/>
        </w:rPr>
        <w:t>Describe right and left from the patient’s point of view. UR means upper right, UL upper left, LR lower right and LL lower left. Each quadrant starts at the centre of the mouth and is numbered outwards from 1 to 8 for permanent teeth.</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24"/>
        <w:gridCol w:w="3384"/>
        <w:gridCol w:w="5472"/>
      </w:tblGrid>
      <w:tr>
        <w:trPr>
          <w:tblHeader/>
          <w:cantSplit/>
        </w:trPr>
        <w:tc>
          <w:tcPr>
            <w:tcW w:type="dxa" w:w="1224"/>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1"/>
              </w:rPr>
              <w:t>Quadrant</w:t>
            </w:r>
          </w:p>
        </w:tc>
        <w:tc>
          <w:tcPr>
            <w:tcW w:type="dxa" w:w="3384"/>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Meaning</w:t>
            </w:r>
          </w:p>
        </w:tc>
        <w:tc>
          <w:tcPr>
            <w:tcW w:type="dxa" w:w="5472"/>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Worked example</w:t>
            </w:r>
          </w:p>
        </w:tc>
      </w:tr>
      <w:tr>
        <w:trPr>
          <w:cantSplit/>
        </w:trPr>
        <w:tc>
          <w:tcPr>
            <w:tcW w:type="dxa" w:w="1224"/>
            <w:vAlign w:val="center"/>
            <w:tcMar>
              <w:top w:w="85" w:type="dxa"/>
              <w:left w:w="85" w:type="dxa"/>
              <w:bottom w:w="85" w:type="dxa"/>
              <w:right w:w="85" w:type="dxa"/>
            </w:tcMar>
            <w:shd w:fill="FFFFFF"/>
          </w:tcPr>
          <w:p>
            <w:pPr>
              <w:spacing w:after="40" w:before="20" w:line="252" w:lineRule="auto"/>
              <w:jc w:val="center"/>
            </w:pPr>
            <w:r>
              <w:rPr>
                <w:rFonts w:ascii="Arial" w:hAnsi="Arial"/>
                <w:sz w:val="21"/>
              </w:rPr>
              <w:t>UR</w:t>
            </w:r>
          </w:p>
        </w:tc>
        <w:tc>
          <w:tcPr>
            <w:tcW w:type="dxa" w:w="3384"/>
            <w:vAlign w:val="center"/>
            <w:tcMar>
              <w:top w:w="85" w:type="dxa"/>
              <w:left w:w="85" w:type="dxa"/>
              <w:bottom w:w="85" w:type="dxa"/>
              <w:right w:w="85" w:type="dxa"/>
            </w:tcMar>
            <w:shd w:fill="FFFFFF"/>
          </w:tcPr>
          <w:p>
            <w:pPr>
              <w:spacing w:after="40" w:before="20" w:line="252" w:lineRule="auto"/>
            </w:pPr>
            <w:r>
              <w:rPr>
                <w:rFonts w:ascii="Arial" w:hAnsi="Arial"/>
                <w:sz w:val="21"/>
              </w:rPr>
              <w:t>Patient’s upper right</w:t>
            </w:r>
          </w:p>
        </w:tc>
        <w:tc>
          <w:tcPr>
            <w:tcW w:type="dxa" w:w="5472"/>
            <w:vAlign w:val="center"/>
            <w:tcMar>
              <w:top w:w="85" w:type="dxa"/>
              <w:left w:w="85" w:type="dxa"/>
              <w:bottom w:w="85" w:type="dxa"/>
              <w:right w:w="85" w:type="dxa"/>
            </w:tcMar>
            <w:shd w:fill="FFFFFF"/>
          </w:tcPr>
          <w:p>
            <w:pPr>
              <w:spacing w:after="40" w:before="20" w:line="252" w:lineRule="auto"/>
            </w:pPr>
            <w:r>
              <w:rPr>
                <w:rFonts w:ascii="Arial" w:hAnsi="Arial"/>
                <w:sz w:val="21"/>
              </w:rPr>
              <w:t>UR6 = upper right first molar</w:t>
            </w:r>
          </w:p>
        </w:tc>
      </w:tr>
      <w:tr>
        <w:trPr>
          <w:cantSplit/>
        </w:trPr>
        <w:tc>
          <w:tcPr>
            <w:tcW w:type="dxa" w:w="1224"/>
            <w:vAlign w:val="center"/>
            <w:tcMar>
              <w:top w:w="85" w:type="dxa"/>
              <w:left w:w="85" w:type="dxa"/>
              <w:bottom w:w="85" w:type="dxa"/>
              <w:right w:w="85" w:type="dxa"/>
            </w:tcMar>
            <w:shd w:fill="F4F4F4"/>
          </w:tcPr>
          <w:p>
            <w:pPr>
              <w:spacing w:after="40" w:before="20" w:line="252" w:lineRule="auto"/>
              <w:jc w:val="center"/>
            </w:pPr>
            <w:r>
              <w:rPr>
                <w:rFonts w:ascii="Arial" w:hAnsi="Arial"/>
                <w:sz w:val="21"/>
              </w:rPr>
              <w:t>UL</w:t>
            </w:r>
          </w:p>
        </w:tc>
        <w:tc>
          <w:tcPr>
            <w:tcW w:type="dxa" w:w="3384"/>
            <w:vAlign w:val="center"/>
            <w:tcMar>
              <w:top w:w="85" w:type="dxa"/>
              <w:left w:w="85" w:type="dxa"/>
              <w:bottom w:w="85" w:type="dxa"/>
              <w:right w:w="85" w:type="dxa"/>
            </w:tcMar>
            <w:shd w:fill="F4F4F4"/>
          </w:tcPr>
          <w:p>
            <w:pPr>
              <w:spacing w:after="40" w:before="20" w:line="252" w:lineRule="auto"/>
            </w:pPr>
            <w:r>
              <w:rPr>
                <w:rFonts w:ascii="Arial" w:hAnsi="Arial"/>
                <w:sz w:val="21"/>
              </w:rPr>
              <w:t>Patient’s upper left</w:t>
            </w:r>
          </w:p>
        </w:tc>
        <w:tc>
          <w:tcPr>
            <w:tcW w:type="dxa" w:w="5472"/>
            <w:vAlign w:val="center"/>
            <w:tcMar>
              <w:top w:w="85" w:type="dxa"/>
              <w:left w:w="85" w:type="dxa"/>
              <w:bottom w:w="85" w:type="dxa"/>
              <w:right w:w="85" w:type="dxa"/>
            </w:tcMar>
            <w:shd w:fill="F4F4F4"/>
          </w:tcPr>
          <w:p>
            <w:pPr>
              <w:spacing w:after="40" w:before="20" w:line="252" w:lineRule="auto"/>
            </w:pPr>
            <w:r>
              <w:rPr>
                <w:rFonts w:ascii="Arial" w:hAnsi="Arial"/>
                <w:sz w:val="21"/>
              </w:rPr>
              <w:t>UL2 = upper left lateral incisor</w:t>
            </w:r>
          </w:p>
        </w:tc>
      </w:tr>
      <w:tr>
        <w:trPr>
          <w:cantSplit/>
        </w:trPr>
        <w:tc>
          <w:tcPr>
            <w:tcW w:type="dxa" w:w="1224"/>
            <w:vAlign w:val="center"/>
            <w:tcMar>
              <w:top w:w="85" w:type="dxa"/>
              <w:left w:w="85" w:type="dxa"/>
              <w:bottom w:w="85" w:type="dxa"/>
              <w:right w:w="85" w:type="dxa"/>
            </w:tcMar>
            <w:shd w:fill="FFFFFF"/>
          </w:tcPr>
          <w:p>
            <w:pPr>
              <w:spacing w:after="40" w:before="20" w:line="252" w:lineRule="auto"/>
              <w:jc w:val="center"/>
            </w:pPr>
            <w:r>
              <w:rPr>
                <w:rFonts w:ascii="Arial" w:hAnsi="Arial"/>
                <w:sz w:val="21"/>
              </w:rPr>
              <w:t>LR</w:t>
            </w:r>
          </w:p>
        </w:tc>
        <w:tc>
          <w:tcPr>
            <w:tcW w:type="dxa" w:w="3384"/>
            <w:vAlign w:val="center"/>
            <w:tcMar>
              <w:top w:w="85" w:type="dxa"/>
              <w:left w:w="85" w:type="dxa"/>
              <w:bottom w:w="85" w:type="dxa"/>
              <w:right w:w="85" w:type="dxa"/>
            </w:tcMar>
            <w:shd w:fill="FFFFFF"/>
          </w:tcPr>
          <w:p>
            <w:pPr>
              <w:spacing w:after="40" w:before="20" w:line="252" w:lineRule="auto"/>
            </w:pPr>
            <w:r>
              <w:rPr>
                <w:rFonts w:ascii="Arial" w:hAnsi="Arial"/>
                <w:sz w:val="21"/>
              </w:rPr>
              <w:t>Patient’s lower right</w:t>
            </w:r>
          </w:p>
        </w:tc>
        <w:tc>
          <w:tcPr>
            <w:tcW w:type="dxa" w:w="5472"/>
            <w:vAlign w:val="center"/>
            <w:tcMar>
              <w:top w:w="85" w:type="dxa"/>
              <w:left w:w="85" w:type="dxa"/>
              <w:bottom w:w="85" w:type="dxa"/>
              <w:right w:w="85" w:type="dxa"/>
            </w:tcMar>
            <w:shd w:fill="FFFFFF"/>
          </w:tcPr>
          <w:p>
            <w:pPr>
              <w:spacing w:after="40" w:before="20" w:line="252" w:lineRule="auto"/>
            </w:pPr>
            <w:r>
              <w:rPr>
                <w:rFonts w:ascii="Arial" w:hAnsi="Arial"/>
                <w:sz w:val="21"/>
              </w:rPr>
              <w:t>LR3 = lower right canine</w:t>
            </w:r>
          </w:p>
        </w:tc>
      </w:tr>
      <w:tr>
        <w:trPr>
          <w:cantSplit/>
        </w:trPr>
        <w:tc>
          <w:tcPr>
            <w:tcW w:type="dxa" w:w="1224"/>
            <w:vAlign w:val="center"/>
            <w:tcMar>
              <w:top w:w="85" w:type="dxa"/>
              <w:left w:w="85" w:type="dxa"/>
              <w:bottom w:w="85" w:type="dxa"/>
              <w:right w:w="85" w:type="dxa"/>
            </w:tcMar>
            <w:shd w:fill="F4F4F4"/>
          </w:tcPr>
          <w:p>
            <w:pPr>
              <w:spacing w:after="40" w:before="20" w:line="252" w:lineRule="auto"/>
              <w:jc w:val="center"/>
            </w:pPr>
            <w:r>
              <w:rPr>
                <w:rFonts w:ascii="Arial" w:hAnsi="Arial"/>
                <w:sz w:val="21"/>
              </w:rPr>
              <w:t>LL</w:t>
            </w:r>
          </w:p>
        </w:tc>
        <w:tc>
          <w:tcPr>
            <w:tcW w:type="dxa" w:w="3384"/>
            <w:vAlign w:val="center"/>
            <w:tcMar>
              <w:top w:w="85" w:type="dxa"/>
              <w:left w:w="85" w:type="dxa"/>
              <w:bottom w:w="85" w:type="dxa"/>
              <w:right w:w="85" w:type="dxa"/>
            </w:tcMar>
            <w:shd w:fill="F4F4F4"/>
          </w:tcPr>
          <w:p>
            <w:pPr>
              <w:spacing w:after="40" w:before="20" w:line="252" w:lineRule="auto"/>
            </w:pPr>
            <w:r>
              <w:rPr>
                <w:rFonts w:ascii="Arial" w:hAnsi="Arial"/>
                <w:sz w:val="21"/>
              </w:rPr>
              <w:t>Patient’s lower left</w:t>
            </w:r>
          </w:p>
        </w:tc>
        <w:tc>
          <w:tcPr>
            <w:tcW w:type="dxa" w:w="5472"/>
            <w:vAlign w:val="center"/>
            <w:tcMar>
              <w:top w:w="85" w:type="dxa"/>
              <w:left w:w="85" w:type="dxa"/>
              <w:bottom w:w="85" w:type="dxa"/>
              <w:right w:w="85" w:type="dxa"/>
            </w:tcMar>
            <w:shd w:fill="F4F4F4"/>
          </w:tcPr>
          <w:p>
            <w:pPr>
              <w:spacing w:after="40" w:before="20" w:line="252" w:lineRule="auto"/>
            </w:pPr>
            <w:r>
              <w:rPr>
                <w:rFonts w:ascii="Arial" w:hAnsi="Arial"/>
                <w:sz w:val="21"/>
              </w:rPr>
              <w:t>LL4 = lower left first premolar</w:t>
            </w:r>
          </w:p>
        </w:tc>
      </w:tr>
    </w:tbl>
    <w:p>
      <w:pPr>
        <w:spacing w:after="0"/>
      </w:pPr>
      <w:r>
        <w:rPr>
          <w:b w:val="0"/>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08"/>
        <w:gridCol w:w="3600"/>
        <w:gridCol w:w="5472"/>
      </w:tblGrid>
      <w:tr>
        <w:trPr>
          <w:tblHeader/>
          <w:cantSplit/>
        </w:trPr>
        <w:tc>
          <w:tcPr>
            <w:tcW w:type="dxa" w:w="1008"/>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1"/>
              </w:rPr>
              <w:t>Number</w:t>
            </w:r>
          </w:p>
        </w:tc>
        <w:tc>
          <w:tcPr>
            <w:tcW w:type="dxa" w:w="3600"/>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Tooth name</w:t>
            </w:r>
          </w:p>
        </w:tc>
        <w:tc>
          <w:tcPr>
            <w:tcW w:type="dxa" w:w="5472"/>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Group and main function</w:t>
            </w:r>
          </w:p>
        </w:tc>
      </w:tr>
      <w:tr>
        <w:trPr>
          <w:cantSplit/>
        </w:trPr>
        <w:tc>
          <w:tcPr>
            <w:tcW w:type="dxa" w:w="1008"/>
            <w:vAlign w:val="center"/>
            <w:tcMar>
              <w:top w:w="85" w:type="dxa"/>
              <w:left w:w="85" w:type="dxa"/>
              <w:bottom w:w="85" w:type="dxa"/>
              <w:right w:w="85" w:type="dxa"/>
            </w:tcMar>
            <w:shd w:fill="FFFFFF"/>
          </w:tcPr>
          <w:p>
            <w:pPr>
              <w:spacing w:after="40" w:before="20" w:line="252" w:lineRule="auto"/>
              <w:jc w:val="center"/>
            </w:pPr>
            <w:r>
              <w:rPr>
                <w:rFonts w:ascii="Arial" w:hAnsi="Arial"/>
                <w:sz w:val="21"/>
              </w:rPr>
              <w:t>1</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1"/>
              </w:rPr>
              <w:t>Central incisor</w:t>
            </w:r>
          </w:p>
        </w:tc>
        <w:tc>
          <w:tcPr>
            <w:tcW w:type="dxa" w:w="5472"/>
            <w:vAlign w:val="center"/>
            <w:tcMar>
              <w:top w:w="85" w:type="dxa"/>
              <w:left w:w="85" w:type="dxa"/>
              <w:bottom w:w="85" w:type="dxa"/>
              <w:right w:w="85" w:type="dxa"/>
            </w:tcMar>
            <w:shd w:fill="FFFFFF"/>
          </w:tcPr>
          <w:p>
            <w:pPr>
              <w:spacing w:after="40" w:before="20" w:line="252" w:lineRule="auto"/>
            </w:pPr>
            <w:r>
              <w:rPr>
                <w:rFonts w:ascii="Arial" w:hAnsi="Arial"/>
                <w:sz w:val="21"/>
              </w:rPr>
              <w:t>Incisor: cutting food</w:t>
            </w:r>
          </w:p>
        </w:tc>
      </w:tr>
      <w:tr>
        <w:trPr>
          <w:cantSplit/>
        </w:trPr>
        <w:tc>
          <w:tcPr>
            <w:tcW w:type="dxa" w:w="1008"/>
            <w:vAlign w:val="center"/>
            <w:tcMar>
              <w:top w:w="85" w:type="dxa"/>
              <w:left w:w="85" w:type="dxa"/>
              <w:bottom w:w="85" w:type="dxa"/>
              <w:right w:w="85" w:type="dxa"/>
            </w:tcMar>
            <w:shd w:fill="F4F4F4"/>
          </w:tcPr>
          <w:p>
            <w:pPr>
              <w:spacing w:after="40" w:before="20" w:line="252" w:lineRule="auto"/>
              <w:jc w:val="center"/>
            </w:pPr>
            <w:r>
              <w:rPr>
                <w:rFonts w:ascii="Arial" w:hAnsi="Arial"/>
                <w:sz w:val="21"/>
              </w:rPr>
              <w:t>2</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1"/>
              </w:rPr>
              <w:t>Lateral incisor</w:t>
            </w:r>
          </w:p>
        </w:tc>
        <w:tc>
          <w:tcPr>
            <w:tcW w:type="dxa" w:w="5472"/>
            <w:vAlign w:val="center"/>
            <w:tcMar>
              <w:top w:w="85" w:type="dxa"/>
              <w:left w:w="85" w:type="dxa"/>
              <w:bottom w:w="85" w:type="dxa"/>
              <w:right w:w="85" w:type="dxa"/>
            </w:tcMar>
            <w:shd w:fill="F4F4F4"/>
          </w:tcPr>
          <w:p>
            <w:pPr>
              <w:spacing w:after="40" w:before="20" w:line="252" w:lineRule="auto"/>
            </w:pPr>
            <w:r>
              <w:rPr>
                <w:rFonts w:ascii="Arial" w:hAnsi="Arial"/>
                <w:sz w:val="21"/>
              </w:rPr>
              <w:t>Incisor: cutting food</w:t>
            </w:r>
          </w:p>
        </w:tc>
      </w:tr>
      <w:tr>
        <w:trPr>
          <w:cantSplit/>
        </w:trPr>
        <w:tc>
          <w:tcPr>
            <w:tcW w:type="dxa" w:w="1008"/>
            <w:vAlign w:val="center"/>
            <w:tcMar>
              <w:top w:w="85" w:type="dxa"/>
              <w:left w:w="85" w:type="dxa"/>
              <w:bottom w:w="85" w:type="dxa"/>
              <w:right w:w="85" w:type="dxa"/>
            </w:tcMar>
            <w:shd w:fill="FFFFFF"/>
          </w:tcPr>
          <w:p>
            <w:pPr>
              <w:spacing w:after="40" w:before="20" w:line="252" w:lineRule="auto"/>
              <w:jc w:val="center"/>
            </w:pPr>
            <w:r>
              <w:rPr>
                <w:rFonts w:ascii="Arial" w:hAnsi="Arial"/>
                <w:sz w:val="21"/>
              </w:rPr>
              <w:t>3</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1"/>
              </w:rPr>
              <w:t>Canine</w:t>
            </w:r>
          </w:p>
        </w:tc>
        <w:tc>
          <w:tcPr>
            <w:tcW w:type="dxa" w:w="5472"/>
            <w:vAlign w:val="center"/>
            <w:tcMar>
              <w:top w:w="85" w:type="dxa"/>
              <w:left w:w="85" w:type="dxa"/>
              <w:bottom w:w="85" w:type="dxa"/>
              <w:right w:w="85" w:type="dxa"/>
            </w:tcMar>
            <w:shd w:fill="FFFFFF"/>
          </w:tcPr>
          <w:p>
            <w:pPr>
              <w:spacing w:after="40" w:before="20" w:line="252" w:lineRule="auto"/>
            </w:pPr>
            <w:r>
              <w:rPr>
                <w:rFonts w:ascii="Arial" w:hAnsi="Arial"/>
                <w:sz w:val="21"/>
              </w:rPr>
              <w:t>Canine: gripping and tearing</w:t>
            </w:r>
          </w:p>
        </w:tc>
      </w:tr>
      <w:tr>
        <w:trPr>
          <w:cantSplit/>
        </w:trPr>
        <w:tc>
          <w:tcPr>
            <w:tcW w:type="dxa" w:w="1008"/>
            <w:vAlign w:val="center"/>
            <w:tcMar>
              <w:top w:w="85" w:type="dxa"/>
              <w:left w:w="85" w:type="dxa"/>
              <w:bottom w:w="85" w:type="dxa"/>
              <w:right w:w="85" w:type="dxa"/>
            </w:tcMar>
            <w:shd w:fill="F4F4F4"/>
          </w:tcPr>
          <w:p>
            <w:pPr>
              <w:spacing w:after="40" w:before="20" w:line="252" w:lineRule="auto"/>
              <w:jc w:val="center"/>
            </w:pPr>
            <w:r>
              <w:rPr>
                <w:rFonts w:ascii="Arial" w:hAnsi="Arial"/>
                <w:sz w:val="21"/>
              </w:rPr>
              <w:t>4</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1"/>
              </w:rPr>
              <w:t>First premolar</w:t>
            </w:r>
          </w:p>
        </w:tc>
        <w:tc>
          <w:tcPr>
            <w:tcW w:type="dxa" w:w="5472"/>
            <w:vAlign w:val="center"/>
            <w:tcMar>
              <w:top w:w="85" w:type="dxa"/>
              <w:left w:w="85" w:type="dxa"/>
              <w:bottom w:w="85" w:type="dxa"/>
              <w:right w:w="85" w:type="dxa"/>
            </w:tcMar>
            <w:shd w:fill="F4F4F4"/>
          </w:tcPr>
          <w:p>
            <w:pPr>
              <w:spacing w:after="40" w:before="20" w:line="252" w:lineRule="auto"/>
            </w:pPr>
            <w:r>
              <w:rPr>
                <w:rFonts w:ascii="Arial" w:hAnsi="Arial"/>
                <w:sz w:val="21"/>
              </w:rPr>
              <w:t>Premolar: crushing and chewing</w:t>
            </w:r>
          </w:p>
        </w:tc>
      </w:tr>
      <w:tr>
        <w:trPr>
          <w:cantSplit/>
        </w:trPr>
        <w:tc>
          <w:tcPr>
            <w:tcW w:type="dxa" w:w="1008"/>
            <w:vAlign w:val="center"/>
            <w:tcMar>
              <w:top w:w="85" w:type="dxa"/>
              <w:left w:w="85" w:type="dxa"/>
              <w:bottom w:w="85" w:type="dxa"/>
              <w:right w:w="85" w:type="dxa"/>
            </w:tcMar>
            <w:shd w:fill="FFFFFF"/>
          </w:tcPr>
          <w:p>
            <w:pPr>
              <w:spacing w:after="40" w:before="20" w:line="252" w:lineRule="auto"/>
              <w:jc w:val="center"/>
            </w:pPr>
            <w:r>
              <w:rPr>
                <w:rFonts w:ascii="Arial" w:hAnsi="Arial"/>
                <w:sz w:val="21"/>
              </w:rPr>
              <w:t>5</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1"/>
              </w:rPr>
              <w:t>Second premolar</w:t>
            </w:r>
          </w:p>
        </w:tc>
        <w:tc>
          <w:tcPr>
            <w:tcW w:type="dxa" w:w="5472"/>
            <w:vAlign w:val="center"/>
            <w:tcMar>
              <w:top w:w="85" w:type="dxa"/>
              <w:left w:w="85" w:type="dxa"/>
              <w:bottom w:w="85" w:type="dxa"/>
              <w:right w:w="85" w:type="dxa"/>
            </w:tcMar>
            <w:shd w:fill="FFFFFF"/>
          </w:tcPr>
          <w:p>
            <w:pPr>
              <w:spacing w:after="40" w:before="20" w:line="252" w:lineRule="auto"/>
            </w:pPr>
            <w:r>
              <w:rPr>
                <w:rFonts w:ascii="Arial" w:hAnsi="Arial"/>
                <w:sz w:val="21"/>
              </w:rPr>
              <w:t>Premolar: crushing and chewing</w:t>
            </w:r>
          </w:p>
        </w:tc>
      </w:tr>
      <w:tr>
        <w:trPr>
          <w:cantSplit/>
        </w:trPr>
        <w:tc>
          <w:tcPr>
            <w:tcW w:type="dxa" w:w="1008"/>
            <w:vAlign w:val="center"/>
            <w:tcMar>
              <w:top w:w="85" w:type="dxa"/>
              <w:left w:w="85" w:type="dxa"/>
              <w:bottom w:w="85" w:type="dxa"/>
              <w:right w:w="85" w:type="dxa"/>
            </w:tcMar>
            <w:shd w:fill="F4F4F4"/>
          </w:tcPr>
          <w:p>
            <w:pPr>
              <w:spacing w:after="40" w:before="20" w:line="252" w:lineRule="auto"/>
              <w:jc w:val="center"/>
            </w:pPr>
            <w:r>
              <w:rPr>
                <w:rFonts w:ascii="Arial" w:hAnsi="Arial"/>
                <w:sz w:val="21"/>
              </w:rPr>
              <w:t>6</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1"/>
              </w:rPr>
              <w:t>First molar</w:t>
            </w:r>
          </w:p>
        </w:tc>
        <w:tc>
          <w:tcPr>
            <w:tcW w:type="dxa" w:w="5472"/>
            <w:vAlign w:val="center"/>
            <w:tcMar>
              <w:top w:w="85" w:type="dxa"/>
              <w:left w:w="85" w:type="dxa"/>
              <w:bottom w:w="85" w:type="dxa"/>
              <w:right w:w="85" w:type="dxa"/>
            </w:tcMar>
            <w:shd w:fill="F4F4F4"/>
          </w:tcPr>
          <w:p>
            <w:pPr>
              <w:spacing w:after="40" w:before="20" w:line="252" w:lineRule="auto"/>
            </w:pPr>
            <w:r>
              <w:rPr>
                <w:rFonts w:ascii="Arial" w:hAnsi="Arial"/>
                <w:sz w:val="21"/>
              </w:rPr>
              <w:t>Molar: grinding and chewing</w:t>
            </w:r>
          </w:p>
        </w:tc>
      </w:tr>
      <w:tr>
        <w:trPr>
          <w:cantSplit/>
        </w:trPr>
        <w:tc>
          <w:tcPr>
            <w:tcW w:type="dxa" w:w="1008"/>
            <w:vAlign w:val="center"/>
            <w:tcMar>
              <w:top w:w="85" w:type="dxa"/>
              <w:left w:w="85" w:type="dxa"/>
              <w:bottom w:w="85" w:type="dxa"/>
              <w:right w:w="85" w:type="dxa"/>
            </w:tcMar>
            <w:shd w:fill="FFFFFF"/>
          </w:tcPr>
          <w:p>
            <w:pPr>
              <w:spacing w:after="40" w:before="20" w:line="252" w:lineRule="auto"/>
              <w:jc w:val="center"/>
            </w:pPr>
            <w:r>
              <w:rPr>
                <w:rFonts w:ascii="Arial" w:hAnsi="Arial"/>
                <w:sz w:val="21"/>
              </w:rPr>
              <w:t>7</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1"/>
              </w:rPr>
              <w:t>Second molar</w:t>
            </w:r>
          </w:p>
        </w:tc>
        <w:tc>
          <w:tcPr>
            <w:tcW w:type="dxa" w:w="5472"/>
            <w:vAlign w:val="center"/>
            <w:tcMar>
              <w:top w:w="85" w:type="dxa"/>
              <w:left w:w="85" w:type="dxa"/>
              <w:bottom w:w="85" w:type="dxa"/>
              <w:right w:w="85" w:type="dxa"/>
            </w:tcMar>
            <w:shd w:fill="FFFFFF"/>
          </w:tcPr>
          <w:p>
            <w:pPr>
              <w:spacing w:after="40" w:before="20" w:line="252" w:lineRule="auto"/>
            </w:pPr>
            <w:r>
              <w:rPr>
                <w:rFonts w:ascii="Arial" w:hAnsi="Arial"/>
                <w:sz w:val="21"/>
              </w:rPr>
              <w:t>Molar: grinding and chewing</w:t>
            </w:r>
          </w:p>
        </w:tc>
      </w:tr>
      <w:tr>
        <w:trPr>
          <w:cantSplit/>
        </w:trPr>
        <w:tc>
          <w:tcPr>
            <w:tcW w:type="dxa" w:w="1008"/>
            <w:vAlign w:val="center"/>
            <w:tcMar>
              <w:top w:w="85" w:type="dxa"/>
              <w:left w:w="85" w:type="dxa"/>
              <w:bottom w:w="85" w:type="dxa"/>
              <w:right w:w="85" w:type="dxa"/>
            </w:tcMar>
            <w:shd w:fill="F4F4F4"/>
          </w:tcPr>
          <w:p>
            <w:pPr>
              <w:spacing w:after="40" w:before="20" w:line="252" w:lineRule="auto"/>
              <w:jc w:val="center"/>
            </w:pPr>
            <w:r>
              <w:rPr>
                <w:rFonts w:ascii="Arial" w:hAnsi="Arial"/>
                <w:sz w:val="21"/>
              </w:rPr>
              <w:t>8</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1"/>
              </w:rPr>
              <w:t>Third molar or wisdom tooth</w:t>
            </w:r>
          </w:p>
        </w:tc>
        <w:tc>
          <w:tcPr>
            <w:tcW w:type="dxa" w:w="5472"/>
            <w:vAlign w:val="center"/>
            <w:tcMar>
              <w:top w:w="85" w:type="dxa"/>
              <w:left w:w="85" w:type="dxa"/>
              <w:bottom w:w="85" w:type="dxa"/>
              <w:right w:w="85" w:type="dxa"/>
            </w:tcMar>
            <w:shd w:fill="F4F4F4"/>
          </w:tcPr>
          <w:p>
            <w:pPr>
              <w:spacing w:after="40" w:before="20" w:line="252" w:lineRule="auto"/>
            </w:pPr>
            <w:r>
              <w:rPr>
                <w:rFonts w:ascii="Arial" w:hAnsi="Arial"/>
                <w:sz w:val="21"/>
              </w:rPr>
              <w:t>Molar: grinding and chewing</w:t>
            </w:r>
          </w:p>
        </w:tc>
      </w:tr>
    </w:tbl>
    <w:p>
      <w:pPr>
        <w:spacing w:after="0"/>
      </w:pPr>
      <w:r>
        <w:rPr>
          <w:b w:val="0"/>
        </w:rPr>
      </w:r>
    </w:p>
    <w:p>
      <w:pPr>
        <w:pStyle w:val="Heading2"/>
      </w:pPr>
      <w:r>
        <w:t>Recognise the groups</w:t>
      </w:r>
    </w:p>
    <w:p>
      <w:r>
        <w:rPr>
          <w:b w:val="0"/>
        </w:rPr>
        <w:t>Incisors are the front teeth with cutting edges. Canines sit beside the incisors and have a pointed cusp. Premolars sit behind the canines. Molars are the larger back teeth with broad chewing surfaces. A full permanent set has 32 teeth including four wisdom teeth, but an individual may have fewer.</w:t>
      </w:r>
    </w:p>
    <w:p>
      <w:r>
        <w:rPr>
          <w:b w:val="0"/>
        </w:rPr>
        <w:t>Primary teeth use A to E in each quadrant: central incisor, lateral incisor, canine, first molar and second molar. There are no primary premolars. Confirm whether the chart shows permanent, primary or mixed dentition.</w:t>
      </w:r>
    </w:p>
    <w:p>
      <w:r>
        <w:rPr>
          <w:b/>
        </w:rPr>
        <w:t xml:space="preserve">Practise </w:t>
      </w:r>
      <w:r>
        <w:t>Point to UR6, LL4, UL1, LR5 and LL7 on a model, then say each full name. The trainer changes the order so the learner identifies the tooth rather than memorising a list.</w:t>
      </w:r>
    </w:p>
    <w:p>
      <w:pPr>
        <w:spacing w:after="140"/>
      </w:pPr>
      <w:r>
        <w:t xml:space="preserve">Read: </w:t>
      </w:r>
      <w:hyperlink r:id="rId12">
        <w:r>
          <w:rPr>
            <w:color w:val="205781"/>
            <w:sz w:val="20"/>
          </w:rPr>
          <w:t>NHS inform guide to teeth and tooth types</w:t>
        </w:r>
      </w:hyperlink>
    </w:p>
    <w:p>
      <w:pPr>
        <w:spacing w:after="140"/>
      </w:pPr>
      <w:r>
        <w:t xml:space="preserve">Read: </w:t>
      </w:r>
      <w:hyperlink r:id="rId13">
        <w:r>
          <w:rPr>
            <w:color w:val="205781"/>
            <w:sz w:val="20"/>
          </w:rPr>
          <w:t>Sheffield Children’s NHS dental charting reference</w:t>
        </w:r>
      </w:hyperlink>
    </w:p>
    <w:p>
      <w:pPr>
        <w:pStyle w:val="Heading1"/>
        <w:pageBreakBefore/>
      </w:pPr>
      <w:r>
        <w:t>The anatomy of a tooth</w:t>
      </w:r>
    </w:p>
    <w:p>
      <w:r>
        <w:rPr>
          <w:b w:val="0"/>
        </w:rPr>
        <w:t>Learn the parts of a tooth before learning what treatments do. Use a labelled model or the illustrated reference below and point to each part as you explain 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20"/>
        <w:gridCol w:w="7560"/>
      </w:tblGrid>
      <w:tr>
        <w:trPr>
          <w:tblHeader/>
          <w:cantSplit/>
        </w:trPr>
        <w:tc>
          <w:tcPr>
            <w:tcW w:type="dxa" w:w="2520"/>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Part</w:t>
            </w:r>
          </w:p>
        </w:tc>
        <w:tc>
          <w:tcPr>
            <w:tcW w:type="dxa" w:w="7560"/>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Beginner explanation</w:t>
            </w:r>
          </w:p>
        </w:tc>
      </w:tr>
      <w:tr>
        <w:trPr>
          <w:cantSplit/>
        </w:trPr>
        <w:tc>
          <w:tcPr>
            <w:tcW w:type="dxa" w:w="2520"/>
            <w:vAlign w:val="center"/>
            <w:tcMar>
              <w:top w:w="85" w:type="dxa"/>
              <w:left w:w="85" w:type="dxa"/>
              <w:bottom w:w="85" w:type="dxa"/>
              <w:right w:w="85" w:type="dxa"/>
            </w:tcMar>
            <w:shd w:fill="FFFFFF"/>
          </w:tcPr>
          <w:p>
            <w:pPr>
              <w:spacing w:after="40" w:before="20" w:line="252" w:lineRule="auto"/>
            </w:pPr>
            <w:r>
              <w:rPr>
                <w:rFonts w:ascii="Arial" w:hAnsi="Arial"/>
                <w:sz w:val="21"/>
              </w:rPr>
              <w:t>Anatomical crown</w:t>
            </w:r>
          </w:p>
        </w:tc>
        <w:tc>
          <w:tcPr>
            <w:tcW w:type="dxa" w:w="7560"/>
            <w:vAlign w:val="center"/>
            <w:tcMar>
              <w:top w:w="85" w:type="dxa"/>
              <w:left w:w="85" w:type="dxa"/>
              <w:bottom w:w="85" w:type="dxa"/>
              <w:right w:w="85" w:type="dxa"/>
            </w:tcMar>
            <w:shd w:fill="FFFFFF"/>
          </w:tcPr>
          <w:p>
            <w:pPr>
              <w:spacing w:after="40" w:before="20" w:line="252" w:lineRule="auto"/>
            </w:pPr>
            <w:r>
              <w:rPr>
                <w:rFonts w:ascii="Arial" w:hAnsi="Arial"/>
                <w:sz w:val="21"/>
              </w:rPr>
              <w:t>The enamel-covered part of the natural tooth. A manufactured crown used in treatment is a different meaning of the same word.</w:t>
            </w:r>
          </w:p>
        </w:tc>
      </w:tr>
      <w:tr>
        <w:trPr>
          <w:cantSplit/>
        </w:trPr>
        <w:tc>
          <w:tcPr>
            <w:tcW w:type="dxa" w:w="2520"/>
            <w:vAlign w:val="center"/>
            <w:tcMar>
              <w:top w:w="85" w:type="dxa"/>
              <w:left w:w="85" w:type="dxa"/>
              <w:bottom w:w="85" w:type="dxa"/>
              <w:right w:w="85" w:type="dxa"/>
            </w:tcMar>
            <w:shd w:fill="F4F4F4"/>
          </w:tcPr>
          <w:p>
            <w:pPr>
              <w:spacing w:after="40" w:before="20" w:line="252" w:lineRule="auto"/>
            </w:pPr>
            <w:r>
              <w:rPr>
                <w:rFonts w:ascii="Arial" w:hAnsi="Arial"/>
                <w:sz w:val="21"/>
              </w:rPr>
              <w:t>Root</w:t>
            </w:r>
          </w:p>
        </w:tc>
        <w:tc>
          <w:tcPr>
            <w:tcW w:type="dxa" w:w="7560"/>
            <w:vAlign w:val="center"/>
            <w:tcMar>
              <w:top w:w="85" w:type="dxa"/>
              <w:left w:w="85" w:type="dxa"/>
              <w:bottom w:w="85" w:type="dxa"/>
              <w:right w:w="85" w:type="dxa"/>
            </w:tcMar>
            <w:shd w:fill="F4F4F4"/>
          </w:tcPr>
          <w:p>
            <w:pPr>
              <w:spacing w:after="40" w:before="20" w:line="252" w:lineRule="auto"/>
            </w:pPr>
            <w:r>
              <w:rPr>
                <w:rFonts w:ascii="Arial" w:hAnsi="Arial"/>
                <w:sz w:val="21"/>
              </w:rPr>
              <w:t>The part anchored in the jaw. A tooth can have one or more roots.</w:t>
            </w:r>
          </w:p>
        </w:tc>
      </w:tr>
      <w:tr>
        <w:trPr>
          <w:cantSplit/>
        </w:trPr>
        <w:tc>
          <w:tcPr>
            <w:tcW w:type="dxa" w:w="2520"/>
            <w:vAlign w:val="center"/>
            <w:tcMar>
              <w:top w:w="85" w:type="dxa"/>
              <w:left w:w="85" w:type="dxa"/>
              <w:bottom w:w="85" w:type="dxa"/>
              <w:right w:w="85" w:type="dxa"/>
            </w:tcMar>
            <w:shd w:fill="FFFFFF"/>
          </w:tcPr>
          <w:p>
            <w:pPr>
              <w:spacing w:after="40" w:before="20" w:line="252" w:lineRule="auto"/>
            </w:pPr>
            <w:r>
              <w:rPr>
                <w:rFonts w:ascii="Arial" w:hAnsi="Arial"/>
                <w:sz w:val="21"/>
              </w:rPr>
              <w:t>Neck and CEJ</w:t>
            </w:r>
          </w:p>
        </w:tc>
        <w:tc>
          <w:tcPr>
            <w:tcW w:type="dxa" w:w="7560"/>
            <w:vAlign w:val="center"/>
            <w:tcMar>
              <w:top w:w="85" w:type="dxa"/>
              <w:left w:w="85" w:type="dxa"/>
              <w:bottom w:w="85" w:type="dxa"/>
              <w:right w:w="85" w:type="dxa"/>
            </w:tcMar>
            <w:shd w:fill="FFFFFF"/>
          </w:tcPr>
          <w:p>
            <w:pPr>
              <w:spacing w:after="40" w:before="20" w:line="252" w:lineRule="auto"/>
            </w:pPr>
            <w:r>
              <w:rPr>
                <w:rFonts w:ascii="Arial" w:hAnsi="Arial"/>
                <w:sz w:val="21"/>
              </w:rPr>
              <w:t>The junction where enamel covering the crown meets cementum covering the root. CEJ means cemento-enamel junction.</w:t>
            </w:r>
          </w:p>
        </w:tc>
      </w:tr>
      <w:tr>
        <w:trPr>
          <w:cantSplit/>
        </w:trPr>
        <w:tc>
          <w:tcPr>
            <w:tcW w:type="dxa" w:w="2520"/>
            <w:vAlign w:val="center"/>
            <w:tcMar>
              <w:top w:w="85" w:type="dxa"/>
              <w:left w:w="85" w:type="dxa"/>
              <w:bottom w:w="85" w:type="dxa"/>
              <w:right w:w="85" w:type="dxa"/>
            </w:tcMar>
            <w:shd w:fill="F4F4F4"/>
          </w:tcPr>
          <w:p>
            <w:pPr>
              <w:spacing w:after="40" w:before="20" w:line="252" w:lineRule="auto"/>
            </w:pPr>
            <w:r>
              <w:rPr>
                <w:rFonts w:ascii="Arial" w:hAnsi="Arial"/>
                <w:sz w:val="21"/>
              </w:rPr>
              <w:t>Enamel</w:t>
            </w:r>
          </w:p>
        </w:tc>
        <w:tc>
          <w:tcPr>
            <w:tcW w:type="dxa" w:w="7560"/>
            <w:vAlign w:val="center"/>
            <w:tcMar>
              <w:top w:w="85" w:type="dxa"/>
              <w:left w:w="85" w:type="dxa"/>
              <w:bottom w:w="85" w:type="dxa"/>
              <w:right w:w="85" w:type="dxa"/>
            </w:tcMar>
            <w:shd w:fill="F4F4F4"/>
          </w:tcPr>
          <w:p>
            <w:pPr>
              <w:spacing w:after="40" w:before="20" w:line="252" w:lineRule="auto"/>
            </w:pPr>
            <w:r>
              <w:rPr>
                <w:rFonts w:ascii="Arial" w:hAnsi="Arial"/>
                <w:sz w:val="21"/>
              </w:rPr>
              <w:t>The hard outer covering of the crown.</w:t>
            </w:r>
          </w:p>
        </w:tc>
      </w:tr>
      <w:tr>
        <w:trPr>
          <w:cantSplit/>
        </w:trPr>
        <w:tc>
          <w:tcPr>
            <w:tcW w:type="dxa" w:w="2520"/>
            <w:vAlign w:val="center"/>
            <w:tcMar>
              <w:top w:w="85" w:type="dxa"/>
              <w:left w:w="85" w:type="dxa"/>
              <w:bottom w:w="85" w:type="dxa"/>
              <w:right w:w="85" w:type="dxa"/>
            </w:tcMar>
            <w:shd w:fill="FFFFFF"/>
          </w:tcPr>
          <w:p>
            <w:pPr>
              <w:spacing w:after="40" w:before="20" w:line="252" w:lineRule="auto"/>
            </w:pPr>
            <w:r>
              <w:rPr>
                <w:rFonts w:ascii="Arial" w:hAnsi="Arial"/>
                <w:sz w:val="21"/>
              </w:rPr>
              <w:t>Dentine</w:t>
            </w:r>
          </w:p>
        </w:tc>
        <w:tc>
          <w:tcPr>
            <w:tcW w:type="dxa" w:w="7560"/>
            <w:vAlign w:val="center"/>
            <w:tcMar>
              <w:top w:w="85" w:type="dxa"/>
              <w:left w:w="85" w:type="dxa"/>
              <w:bottom w:w="85" w:type="dxa"/>
              <w:right w:w="85" w:type="dxa"/>
            </w:tcMar>
            <w:shd w:fill="FFFFFF"/>
          </w:tcPr>
          <w:p>
            <w:pPr>
              <w:spacing w:after="40" w:before="20" w:line="252" w:lineRule="auto"/>
            </w:pPr>
            <w:r>
              <w:rPr>
                <w:rFonts w:ascii="Arial" w:hAnsi="Arial"/>
                <w:sz w:val="21"/>
              </w:rPr>
              <w:t>The main hard tissue beneath enamel and cementum, surrounding the pulp.</w:t>
            </w:r>
          </w:p>
        </w:tc>
      </w:tr>
      <w:tr>
        <w:trPr>
          <w:cantSplit/>
        </w:trPr>
        <w:tc>
          <w:tcPr>
            <w:tcW w:type="dxa" w:w="2520"/>
            <w:vAlign w:val="center"/>
            <w:tcMar>
              <w:top w:w="85" w:type="dxa"/>
              <w:left w:w="85" w:type="dxa"/>
              <w:bottom w:w="85" w:type="dxa"/>
              <w:right w:w="85" w:type="dxa"/>
            </w:tcMar>
            <w:shd w:fill="F4F4F4"/>
          </w:tcPr>
          <w:p>
            <w:pPr>
              <w:spacing w:after="40" w:before="20" w:line="252" w:lineRule="auto"/>
            </w:pPr>
            <w:r>
              <w:rPr>
                <w:rFonts w:ascii="Arial" w:hAnsi="Arial"/>
                <w:sz w:val="21"/>
              </w:rPr>
              <w:t>Pulp</w:t>
            </w:r>
          </w:p>
        </w:tc>
        <w:tc>
          <w:tcPr>
            <w:tcW w:type="dxa" w:w="7560"/>
            <w:vAlign w:val="center"/>
            <w:tcMar>
              <w:top w:w="85" w:type="dxa"/>
              <w:left w:w="85" w:type="dxa"/>
              <w:bottom w:w="85" w:type="dxa"/>
              <w:right w:w="85" w:type="dxa"/>
            </w:tcMar>
            <w:shd w:fill="F4F4F4"/>
          </w:tcPr>
          <w:p>
            <w:pPr>
              <w:spacing w:after="40" w:before="20" w:line="252" w:lineRule="auto"/>
            </w:pPr>
            <w:r>
              <w:rPr>
                <w:rFonts w:ascii="Arial" w:hAnsi="Arial"/>
                <w:sz w:val="21"/>
              </w:rPr>
              <w:t>Soft tissue containing nerves, blood vessels and connective tissue inside the tooth.</w:t>
            </w:r>
          </w:p>
        </w:tc>
      </w:tr>
      <w:tr>
        <w:trPr>
          <w:cantSplit/>
        </w:trPr>
        <w:tc>
          <w:tcPr>
            <w:tcW w:type="dxa" w:w="2520"/>
            <w:vAlign w:val="center"/>
            <w:tcMar>
              <w:top w:w="85" w:type="dxa"/>
              <w:left w:w="85" w:type="dxa"/>
              <w:bottom w:w="85" w:type="dxa"/>
              <w:right w:w="85" w:type="dxa"/>
            </w:tcMar>
            <w:shd w:fill="FFFFFF"/>
          </w:tcPr>
          <w:p>
            <w:pPr>
              <w:spacing w:after="40" w:before="20" w:line="252" w:lineRule="auto"/>
            </w:pPr>
            <w:r>
              <w:rPr>
                <w:rFonts w:ascii="Arial" w:hAnsi="Arial"/>
                <w:sz w:val="21"/>
              </w:rPr>
              <w:t>Root canal and apex</w:t>
            </w:r>
          </w:p>
        </w:tc>
        <w:tc>
          <w:tcPr>
            <w:tcW w:type="dxa" w:w="7560"/>
            <w:vAlign w:val="center"/>
            <w:tcMar>
              <w:top w:w="85" w:type="dxa"/>
              <w:left w:w="85" w:type="dxa"/>
              <w:bottom w:w="85" w:type="dxa"/>
              <w:right w:w="85" w:type="dxa"/>
            </w:tcMar>
            <w:shd w:fill="FFFFFF"/>
          </w:tcPr>
          <w:p>
            <w:pPr>
              <w:spacing w:after="40" w:before="20" w:line="252" w:lineRule="auto"/>
            </w:pPr>
            <w:r>
              <w:rPr>
                <w:rFonts w:ascii="Arial" w:hAnsi="Arial"/>
                <w:sz w:val="21"/>
              </w:rPr>
              <w:t>A root canal is the space carrying pulp through a root. The apex is the root tip.</w:t>
            </w:r>
          </w:p>
        </w:tc>
      </w:tr>
      <w:tr>
        <w:trPr>
          <w:cantSplit/>
        </w:trPr>
        <w:tc>
          <w:tcPr>
            <w:tcW w:type="dxa" w:w="2520"/>
            <w:vAlign w:val="center"/>
            <w:tcMar>
              <w:top w:w="85" w:type="dxa"/>
              <w:left w:w="85" w:type="dxa"/>
              <w:bottom w:w="85" w:type="dxa"/>
              <w:right w:w="85" w:type="dxa"/>
            </w:tcMar>
            <w:shd w:fill="F4F4F4"/>
          </w:tcPr>
          <w:p>
            <w:pPr>
              <w:spacing w:after="40" w:before="20" w:line="252" w:lineRule="auto"/>
            </w:pPr>
            <w:r>
              <w:rPr>
                <w:rFonts w:ascii="Arial" w:hAnsi="Arial"/>
                <w:sz w:val="21"/>
              </w:rPr>
              <w:t>Cementum</w:t>
            </w:r>
          </w:p>
        </w:tc>
        <w:tc>
          <w:tcPr>
            <w:tcW w:type="dxa" w:w="7560"/>
            <w:vAlign w:val="center"/>
            <w:tcMar>
              <w:top w:w="85" w:type="dxa"/>
              <w:left w:w="85" w:type="dxa"/>
              <w:bottom w:w="85" w:type="dxa"/>
              <w:right w:w="85" w:type="dxa"/>
            </w:tcMar>
            <w:shd w:fill="F4F4F4"/>
          </w:tcPr>
          <w:p>
            <w:pPr>
              <w:spacing w:after="40" w:before="20" w:line="252" w:lineRule="auto"/>
            </w:pPr>
            <w:r>
              <w:rPr>
                <w:rFonts w:ascii="Arial" w:hAnsi="Arial"/>
                <w:sz w:val="21"/>
              </w:rPr>
              <w:t>The hard tissue covering the root surface.</w:t>
            </w:r>
          </w:p>
        </w:tc>
      </w:tr>
      <w:tr>
        <w:trPr>
          <w:cantSplit/>
        </w:trPr>
        <w:tc>
          <w:tcPr>
            <w:tcW w:type="dxa" w:w="2520"/>
            <w:vAlign w:val="center"/>
            <w:tcMar>
              <w:top w:w="85" w:type="dxa"/>
              <w:left w:w="85" w:type="dxa"/>
              <w:bottom w:w="85" w:type="dxa"/>
              <w:right w:w="85" w:type="dxa"/>
            </w:tcMar>
            <w:shd w:fill="FFFFFF"/>
          </w:tcPr>
          <w:p>
            <w:pPr>
              <w:spacing w:after="40" w:before="20" w:line="252" w:lineRule="auto"/>
            </w:pPr>
            <w:r>
              <w:rPr>
                <w:rFonts w:ascii="Arial" w:hAnsi="Arial"/>
                <w:sz w:val="21"/>
              </w:rPr>
              <w:t>Periodontal ligament</w:t>
            </w:r>
          </w:p>
        </w:tc>
        <w:tc>
          <w:tcPr>
            <w:tcW w:type="dxa" w:w="7560"/>
            <w:vAlign w:val="center"/>
            <w:tcMar>
              <w:top w:w="85" w:type="dxa"/>
              <w:left w:w="85" w:type="dxa"/>
              <w:bottom w:w="85" w:type="dxa"/>
              <w:right w:w="85" w:type="dxa"/>
            </w:tcMar>
            <w:shd w:fill="FFFFFF"/>
          </w:tcPr>
          <w:p>
            <w:pPr>
              <w:spacing w:after="40" w:before="20" w:line="252" w:lineRule="auto"/>
            </w:pPr>
            <w:r>
              <w:rPr>
                <w:rFonts w:ascii="Arial" w:hAnsi="Arial"/>
                <w:sz w:val="21"/>
              </w:rPr>
              <w:t>Fibres connecting the root surface to the surrounding supporting bone.</w:t>
            </w:r>
          </w:p>
        </w:tc>
      </w:tr>
      <w:tr>
        <w:trPr>
          <w:cantSplit/>
        </w:trPr>
        <w:tc>
          <w:tcPr>
            <w:tcW w:type="dxa" w:w="2520"/>
            <w:vAlign w:val="center"/>
            <w:tcMar>
              <w:top w:w="85" w:type="dxa"/>
              <w:left w:w="85" w:type="dxa"/>
              <w:bottom w:w="85" w:type="dxa"/>
              <w:right w:w="85" w:type="dxa"/>
            </w:tcMar>
            <w:shd w:fill="F4F4F4"/>
          </w:tcPr>
          <w:p>
            <w:pPr>
              <w:spacing w:after="40" w:before="20" w:line="252" w:lineRule="auto"/>
            </w:pPr>
            <w:r>
              <w:rPr>
                <w:rFonts w:ascii="Arial" w:hAnsi="Arial"/>
                <w:sz w:val="21"/>
              </w:rPr>
              <w:t>Alveolar bone</w:t>
            </w:r>
          </w:p>
        </w:tc>
        <w:tc>
          <w:tcPr>
            <w:tcW w:type="dxa" w:w="7560"/>
            <w:vAlign w:val="center"/>
            <w:tcMar>
              <w:top w:w="85" w:type="dxa"/>
              <w:left w:w="85" w:type="dxa"/>
              <w:bottom w:w="85" w:type="dxa"/>
              <w:right w:w="85" w:type="dxa"/>
            </w:tcMar>
            <w:shd w:fill="F4F4F4"/>
          </w:tcPr>
          <w:p>
            <w:pPr>
              <w:spacing w:after="40" w:before="20" w:line="252" w:lineRule="auto"/>
            </w:pPr>
            <w:r>
              <w:rPr>
                <w:rFonts w:ascii="Arial" w:hAnsi="Arial"/>
                <w:sz w:val="21"/>
              </w:rPr>
              <w:t>The part of the jaw forming the tooth socket and supporting the tooth.</w:t>
            </w:r>
          </w:p>
        </w:tc>
      </w:tr>
      <w:tr>
        <w:trPr>
          <w:cantSplit/>
        </w:trPr>
        <w:tc>
          <w:tcPr>
            <w:tcW w:type="dxa" w:w="2520"/>
            <w:vAlign w:val="center"/>
            <w:tcMar>
              <w:top w:w="85" w:type="dxa"/>
              <w:left w:w="85" w:type="dxa"/>
              <w:bottom w:w="85" w:type="dxa"/>
              <w:right w:w="85" w:type="dxa"/>
            </w:tcMar>
            <w:shd w:fill="FFFFFF"/>
          </w:tcPr>
          <w:p>
            <w:pPr>
              <w:spacing w:after="40" w:before="20" w:line="252" w:lineRule="auto"/>
            </w:pPr>
            <w:r>
              <w:rPr>
                <w:rFonts w:ascii="Arial" w:hAnsi="Arial"/>
                <w:sz w:val="21"/>
              </w:rPr>
              <w:t>Gingiva</w:t>
            </w:r>
          </w:p>
        </w:tc>
        <w:tc>
          <w:tcPr>
            <w:tcW w:type="dxa" w:w="7560"/>
            <w:vAlign w:val="center"/>
            <w:tcMar>
              <w:top w:w="85" w:type="dxa"/>
              <w:left w:w="85" w:type="dxa"/>
              <w:bottom w:w="85" w:type="dxa"/>
              <w:right w:w="85" w:type="dxa"/>
            </w:tcMar>
            <w:shd w:fill="FFFFFF"/>
          </w:tcPr>
          <w:p>
            <w:pPr>
              <w:spacing w:after="40" w:before="20" w:line="252" w:lineRule="auto"/>
            </w:pPr>
            <w:r>
              <w:rPr>
                <w:rFonts w:ascii="Arial" w:hAnsi="Arial"/>
                <w:sz w:val="21"/>
              </w:rPr>
              <w:t>The gum tissue around the tooth.</w:t>
            </w:r>
          </w:p>
        </w:tc>
      </w:tr>
    </w:tbl>
    <w:p>
      <w:pPr>
        <w:spacing w:after="0"/>
      </w:pPr>
      <w:r>
        <w:rPr>
          <w:b w:val="0"/>
        </w:rPr>
      </w:r>
    </w:p>
    <w:p>
      <w:pPr>
        <w:pStyle w:val="Heading2"/>
      </w:pPr>
      <w:r>
        <w:t>Connect anatomy to treatment</w:t>
      </w:r>
    </w:p>
    <w:p>
      <w:pPr>
        <w:pStyle w:val="ListBullet"/>
      </w:pPr>
      <w:r>
        <w:rPr>
          <w:b w:val="0"/>
        </w:rPr>
        <w:t>A filling replaces missing or damaged tooth structure. A crown covers prepared tooth structure.</w:t>
      </w:r>
    </w:p>
    <w:p>
      <w:pPr>
        <w:pStyle w:val="ListBullet"/>
      </w:pPr>
      <w:r>
        <w:rPr>
          <w:b w:val="0"/>
        </w:rPr>
        <w:t>Root canal treatment works inside the tooth’s root canal system. It does not mean extracting the roots.</w:t>
      </w:r>
    </w:p>
    <w:p>
      <w:pPr>
        <w:pStyle w:val="ListBullet"/>
      </w:pPr>
      <w:r>
        <w:rPr>
          <w:b w:val="0"/>
        </w:rPr>
        <w:t>A periodontal chart records findings around the tooth and its supporting tissues. It is different from the tooth chart used for fillings and crowns.</w:t>
      </w:r>
    </w:p>
    <w:p>
      <w:r>
        <w:rPr>
          <w:b/>
        </w:rPr>
        <w:t xml:space="preserve">Practise </w:t>
      </w:r>
      <w:r>
        <w:t>Explain the difference between a root, a root canal and a retained root, then point out where a crown restoration sits.</w:t>
      </w:r>
    </w:p>
    <w:p>
      <w:pPr>
        <w:spacing w:after="140"/>
      </w:pPr>
      <w:r>
        <w:t xml:space="preserve">Read: </w:t>
      </w:r>
      <w:hyperlink r:id="rId14">
        <w:r>
          <w:rPr>
            <w:color w:val="205781"/>
            <w:sz w:val="20"/>
          </w:rPr>
          <w:t>American Dental Association illustrated tooth anatomy</w:t>
        </w:r>
      </w:hyperlink>
    </w:p>
    <w:p>
      <w:pPr>
        <w:spacing w:after="140"/>
      </w:pPr>
      <w:r>
        <w:t xml:space="preserve">Read: </w:t>
      </w:r>
      <w:hyperlink r:id="rId12">
        <w:r>
          <w:rPr>
            <w:color w:val="205781"/>
            <w:sz w:val="20"/>
          </w:rPr>
          <w:t>NHS inform parts of a tooth</w:t>
        </w:r>
      </w:hyperlink>
    </w:p>
    <w:p>
      <w:pPr>
        <w:pStyle w:val="Heading1"/>
        <w:pageBreakBefore/>
      </w:pPr>
      <w:r>
        <w:t>Tooth surfaces</w:t>
      </w:r>
    </w:p>
    <w:p>
      <w:r>
        <w:rPr>
          <w:b w:val="0"/>
        </w:rPr>
        <w:t>A tooth number tells you which tooth. A surface tells you which part of that tooth. Always check both before entering a restoration or finding.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6192"/>
        <w:gridCol w:w="2160"/>
      </w:tblGrid>
      <w:tr>
        <w:trPr>
          <w:tblHeader/>
          <w:cantSplit/>
        </w:trPr>
        <w:tc>
          <w:tcPr>
            <w:tcW w:type="dxa" w:w="1728"/>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1"/>
              </w:rPr>
              <w:t>Surface</w:t>
            </w:r>
          </w:p>
        </w:tc>
        <w:tc>
          <w:tcPr>
            <w:tcW w:type="dxa" w:w="6192"/>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Meaning</w:t>
            </w:r>
          </w:p>
        </w:tc>
        <w:tc>
          <w:tcPr>
            <w:tcW w:type="dxa" w:w="2160"/>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Common shorthand</w:t>
            </w:r>
          </w:p>
        </w:tc>
      </w:tr>
      <w:tr>
        <w:trPr>
          <w:cantSplit/>
        </w:trPr>
        <w:tc>
          <w:tcPr>
            <w:tcW w:type="dxa" w:w="1728"/>
            <w:vAlign w:val="center"/>
            <w:tcMar>
              <w:top w:w="85" w:type="dxa"/>
              <w:left w:w="85" w:type="dxa"/>
              <w:bottom w:w="85" w:type="dxa"/>
              <w:right w:w="85" w:type="dxa"/>
            </w:tcMar>
            <w:shd w:fill="FFFFFF"/>
          </w:tcPr>
          <w:p>
            <w:pPr>
              <w:spacing w:after="40" w:before="20" w:line="252" w:lineRule="auto"/>
              <w:jc w:val="center"/>
            </w:pPr>
            <w:r>
              <w:rPr>
                <w:rFonts w:ascii="Arial" w:hAnsi="Arial"/>
                <w:sz w:val="21"/>
              </w:rPr>
              <w:t>Mesial</w:t>
            </w:r>
          </w:p>
        </w:tc>
        <w:tc>
          <w:tcPr>
            <w:tcW w:type="dxa" w:w="6192"/>
            <w:vAlign w:val="center"/>
            <w:tcMar>
              <w:top w:w="85" w:type="dxa"/>
              <w:left w:w="85" w:type="dxa"/>
              <w:bottom w:w="85" w:type="dxa"/>
              <w:right w:w="85" w:type="dxa"/>
            </w:tcMar>
            <w:shd w:fill="FFFFFF"/>
          </w:tcPr>
          <w:p>
            <w:pPr>
              <w:spacing w:after="40" w:before="20" w:line="252" w:lineRule="auto"/>
            </w:pPr>
            <w:r>
              <w:rPr>
                <w:rFonts w:ascii="Arial" w:hAnsi="Arial"/>
                <w:sz w:val="21"/>
              </w:rPr>
              <w:t>Faces towards the midline of the dental arch.</w:t>
            </w:r>
          </w:p>
        </w:tc>
        <w:tc>
          <w:tcPr>
            <w:tcW w:type="dxa" w:w="2160"/>
            <w:vAlign w:val="center"/>
            <w:tcMar>
              <w:top w:w="85" w:type="dxa"/>
              <w:left w:w="85" w:type="dxa"/>
              <w:bottom w:w="85" w:type="dxa"/>
              <w:right w:w="85" w:type="dxa"/>
            </w:tcMar>
            <w:shd w:fill="FFFFFF"/>
          </w:tcPr>
          <w:p>
            <w:pPr>
              <w:spacing w:after="40" w:before="20" w:line="252" w:lineRule="auto"/>
            </w:pPr>
            <w:r>
              <w:rPr>
                <w:rFonts w:ascii="Arial" w:hAnsi="Arial"/>
                <w:sz w:val="21"/>
              </w:rPr>
              <w:t>M</w:t>
            </w:r>
          </w:p>
        </w:tc>
      </w:tr>
      <w:tr>
        <w:trPr>
          <w:cantSplit/>
        </w:trPr>
        <w:tc>
          <w:tcPr>
            <w:tcW w:type="dxa" w:w="1728"/>
            <w:vAlign w:val="center"/>
            <w:tcMar>
              <w:top w:w="85" w:type="dxa"/>
              <w:left w:w="85" w:type="dxa"/>
              <w:bottom w:w="85" w:type="dxa"/>
              <w:right w:w="85" w:type="dxa"/>
            </w:tcMar>
            <w:shd w:fill="F4F4F4"/>
          </w:tcPr>
          <w:p>
            <w:pPr>
              <w:spacing w:after="40" w:before="20" w:line="252" w:lineRule="auto"/>
              <w:jc w:val="center"/>
            </w:pPr>
            <w:r>
              <w:rPr>
                <w:rFonts w:ascii="Arial" w:hAnsi="Arial"/>
                <w:sz w:val="21"/>
              </w:rPr>
              <w:t>Distal</w:t>
            </w:r>
          </w:p>
        </w:tc>
        <w:tc>
          <w:tcPr>
            <w:tcW w:type="dxa" w:w="6192"/>
            <w:vAlign w:val="center"/>
            <w:tcMar>
              <w:top w:w="85" w:type="dxa"/>
              <w:left w:w="85" w:type="dxa"/>
              <w:bottom w:w="85" w:type="dxa"/>
              <w:right w:w="85" w:type="dxa"/>
            </w:tcMar>
            <w:shd w:fill="F4F4F4"/>
          </w:tcPr>
          <w:p>
            <w:pPr>
              <w:spacing w:after="40" w:before="20" w:line="252" w:lineRule="auto"/>
            </w:pPr>
            <w:r>
              <w:rPr>
                <w:rFonts w:ascii="Arial" w:hAnsi="Arial"/>
                <w:sz w:val="21"/>
              </w:rPr>
              <w:t>Faces away from the midline of the dental arch.</w:t>
            </w:r>
          </w:p>
        </w:tc>
        <w:tc>
          <w:tcPr>
            <w:tcW w:type="dxa" w:w="2160"/>
            <w:vAlign w:val="center"/>
            <w:tcMar>
              <w:top w:w="85" w:type="dxa"/>
              <w:left w:w="85" w:type="dxa"/>
              <w:bottom w:w="85" w:type="dxa"/>
              <w:right w:w="85" w:type="dxa"/>
            </w:tcMar>
            <w:shd w:fill="F4F4F4"/>
          </w:tcPr>
          <w:p>
            <w:pPr>
              <w:spacing w:after="40" w:before="20" w:line="252" w:lineRule="auto"/>
            </w:pPr>
            <w:r>
              <w:rPr>
                <w:rFonts w:ascii="Arial" w:hAnsi="Arial"/>
                <w:sz w:val="21"/>
              </w:rPr>
              <w:t>D</w:t>
            </w:r>
          </w:p>
        </w:tc>
      </w:tr>
      <w:tr>
        <w:trPr>
          <w:cantSplit/>
        </w:trPr>
        <w:tc>
          <w:tcPr>
            <w:tcW w:type="dxa" w:w="1728"/>
            <w:vAlign w:val="center"/>
            <w:tcMar>
              <w:top w:w="85" w:type="dxa"/>
              <w:left w:w="85" w:type="dxa"/>
              <w:bottom w:w="85" w:type="dxa"/>
              <w:right w:w="85" w:type="dxa"/>
            </w:tcMar>
            <w:shd w:fill="FFFFFF"/>
          </w:tcPr>
          <w:p>
            <w:pPr>
              <w:spacing w:after="40" w:before="20" w:line="252" w:lineRule="auto"/>
              <w:jc w:val="center"/>
            </w:pPr>
            <w:r>
              <w:rPr>
                <w:rFonts w:ascii="Arial" w:hAnsi="Arial"/>
                <w:sz w:val="21"/>
              </w:rPr>
              <w:t>Buccal</w:t>
            </w:r>
          </w:p>
        </w:tc>
        <w:tc>
          <w:tcPr>
            <w:tcW w:type="dxa" w:w="6192"/>
            <w:vAlign w:val="center"/>
            <w:tcMar>
              <w:top w:w="85" w:type="dxa"/>
              <w:left w:w="85" w:type="dxa"/>
              <w:bottom w:w="85" w:type="dxa"/>
              <w:right w:w="85" w:type="dxa"/>
            </w:tcMar>
            <w:shd w:fill="FFFFFF"/>
          </w:tcPr>
          <w:p>
            <w:pPr>
              <w:spacing w:after="40" w:before="20" w:line="252" w:lineRule="auto"/>
            </w:pPr>
            <w:r>
              <w:rPr>
                <w:rFonts w:ascii="Arial" w:hAnsi="Arial"/>
                <w:sz w:val="21"/>
              </w:rPr>
              <w:t>Faces the cheek, usually used for back teeth.</w:t>
            </w:r>
          </w:p>
        </w:tc>
        <w:tc>
          <w:tcPr>
            <w:tcW w:type="dxa" w:w="2160"/>
            <w:vAlign w:val="center"/>
            <w:tcMar>
              <w:top w:w="85" w:type="dxa"/>
              <w:left w:w="85" w:type="dxa"/>
              <w:bottom w:w="85" w:type="dxa"/>
              <w:right w:w="85" w:type="dxa"/>
            </w:tcMar>
            <w:shd w:fill="FFFFFF"/>
          </w:tcPr>
          <w:p>
            <w:pPr>
              <w:spacing w:after="40" w:before="20" w:line="252" w:lineRule="auto"/>
            </w:pPr>
            <w:r>
              <w:rPr>
                <w:rFonts w:ascii="Arial" w:hAnsi="Arial"/>
                <w:sz w:val="21"/>
              </w:rPr>
              <w:t>B</w:t>
            </w:r>
          </w:p>
        </w:tc>
      </w:tr>
      <w:tr>
        <w:trPr>
          <w:cantSplit/>
        </w:trPr>
        <w:tc>
          <w:tcPr>
            <w:tcW w:type="dxa" w:w="1728"/>
            <w:vAlign w:val="center"/>
            <w:tcMar>
              <w:top w:w="85" w:type="dxa"/>
              <w:left w:w="85" w:type="dxa"/>
              <w:bottom w:w="85" w:type="dxa"/>
              <w:right w:w="85" w:type="dxa"/>
            </w:tcMar>
            <w:shd w:fill="F4F4F4"/>
          </w:tcPr>
          <w:p>
            <w:pPr>
              <w:spacing w:after="40" w:before="20" w:line="252" w:lineRule="auto"/>
              <w:jc w:val="center"/>
            </w:pPr>
            <w:r>
              <w:rPr>
                <w:rFonts w:ascii="Arial" w:hAnsi="Arial"/>
                <w:sz w:val="21"/>
              </w:rPr>
              <w:t>Labial</w:t>
            </w:r>
          </w:p>
        </w:tc>
        <w:tc>
          <w:tcPr>
            <w:tcW w:type="dxa" w:w="6192"/>
            <w:vAlign w:val="center"/>
            <w:tcMar>
              <w:top w:w="85" w:type="dxa"/>
              <w:left w:w="85" w:type="dxa"/>
              <w:bottom w:w="85" w:type="dxa"/>
              <w:right w:w="85" w:type="dxa"/>
            </w:tcMar>
            <w:shd w:fill="F4F4F4"/>
          </w:tcPr>
          <w:p>
            <w:pPr>
              <w:spacing w:after="40" w:before="20" w:line="252" w:lineRule="auto"/>
            </w:pPr>
            <w:r>
              <w:rPr>
                <w:rFonts w:ascii="Arial" w:hAnsi="Arial"/>
                <w:sz w:val="21"/>
              </w:rPr>
              <w:t>Faces the lips, usually used for front teeth.</w:t>
            </w:r>
          </w:p>
        </w:tc>
        <w:tc>
          <w:tcPr>
            <w:tcW w:type="dxa" w:w="2160"/>
            <w:vAlign w:val="center"/>
            <w:tcMar>
              <w:top w:w="85" w:type="dxa"/>
              <w:left w:w="85" w:type="dxa"/>
              <w:bottom w:w="85" w:type="dxa"/>
              <w:right w:w="85" w:type="dxa"/>
            </w:tcMar>
            <w:shd w:fill="F4F4F4"/>
          </w:tcPr>
          <w:p>
            <w:pPr>
              <w:spacing w:after="40" w:before="20" w:line="252" w:lineRule="auto"/>
            </w:pPr>
            <w:r>
              <w:rPr>
                <w:rFonts w:ascii="Arial" w:hAnsi="Arial"/>
                <w:sz w:val="21"/>
              </w:rPr>
              <w:t>Confirm local label</w:t>
            </w:r>
          </w:p>
        </w:tc>
      </w:tr>
      <w:tr>
        <w:trPr>
          <w:cantSplit/>
        </w:trPr>
        <w:tc>
          <w:tcPr>
            <w:tcW w:type="dxa" w:w="1728"/>
            <w:vAlign w:val="center"/>
            <w:tcMar>
              <w:top w:w="85" w:type="dxa"/>
              <w:left w:w="85" w:type="dxa"/>
              <w:bottom w:w="85" w:type="dxa"/>
              <w:right w:w="85" w:type="dxa"/>
            </w:tcMar>
            <w:shd w:fill="FFFFFF"/>
          </w:tcPr>
          <w:p>
            <w:pPr>
              <w:spacing w:after="40" w:before="20" w:line="252" w:lineRule="auto"/>
              <w:jc w:val="center"/>
            </w:pPr>
            <w:r>
              <w:rPr>
                <w:rFonts w:ascii="Arial" w:hAnsi="Arial"/>
                <w:sz w:val="21"/>
              </w:rPr>
              <w:t>Lingual</w:t>
            </w:r>
          </w:p>
        </w:tc>
        <w:tc>
          <w:tcPr>
            <w:tcW w:type="dxa" w:w="6192"/>
            <w:vAlign w:val="center"/>
            <w:tcMar>
              <w:top w:w="85" w:type="dxa"/>
              <w:left w:w="85" w:type="dxa"/>
              <w:bottom w:w="85" w:type="dxa"/>
              <w:right w:w="85" w:type="dxa"/>
            </w:tcMar>
            <w:shd w:fill="FFFFFF"/>
          </w:tcPr>
          <w:p>
            <w:pPr>
              <w:spacing w:after="40" w:before="20" w:line="252" w:lineRule="auto"/>
            </w:pPr>
            <w:r>
              <w:rPr>
                <w:rFonts w:ascii="Arial" w:hAnsi="Arial"/>
                <w:sz w:val="21"/>
              </w:rPr>
              <w:t>Faces the tongue; commonly used for the inner surfaces of lower teeth.</w:t>
            </w:r>
          </w:p>
        </w:tc>
        <w:tc>
          <w:tcPr>
            <w:tcW w:type="dxa" w:w="2160"/>
            <w:vAlign w:val="center"/>
            <w:tcMar>
              <w:top w:w="85" w:type="dxa"/>
              <w:left w:w="85" w:type="dxa"/>
              <w:bottom w:w="85" w:type="dxa"/>
              <w:right w:w="85" w:type="dxa"/>
            </w:tcMar>
            <w:shd w:fill="FFFFFF"/>
          </w:tcPr>
          <w:p>
            <w:pPr>
              <w:spacing w:after="40" w:before="20" w:line="252" w:lineRule="auto"/>
            </w:pPr>
            <w:r>
              <w:rPr>
                <w:rFonts w:ascii="Arial" w:hAnsi="Arial"/>
                <w:sz w:val="21"/>
              </w:rPr>
              <w:t>L</w:t>
            </w:r>
          </w:p>
        </w:tc>
      </w:tr>
      <w:tr>
        <w:trPr>
          <w:cantSplit/>
        </w:trPr>
        <w:tc>
          <w:tcPr>
            <w:tcW w:type="dxa" w:w="1728"/>
            <w:vAlign w:val="center"/>
            <w:tcMar>
              <w:top w:w="85" w:type="dxa"/>
              <w:left w:w="85" w:type="dxa"/>
              <w:bottom w:w="85" w:type="dxa"/>
              <w:right w:w="85" w:type="dxa"/>
            </w:tcMar>
            <w:shd w:fill="F4F4F4"/>
          </w:tcPr>
          <w:p>
            <w:pPr>
              <w:spacing w:after="40" w:before="20" w:line="252" w:lineRule="auto"/>
              <w:jc w:val="center"/>
            </w:pPr>
            <w:r>
              <w:rPr>
                <w:rFonts w:ascii="Arial" w:hAnsi="Arial"/>
                <w:sz w:val="21"/>
              </w:rPr>
              <w:t>Palatal</w:t>
            </w:r>
          </w:p>
        </w:tc>
        <w:tc>
          <w:tcPr>
            <w:tcW w:type="dxa" w:w="6192"/>
            <w:vAlign w:val="center"/>
            <w:tcMar>
              <w:top w:w="85" w:type="dxa"/>
              <w:left w:w="85" w:type="dxa"/>
              <w:bottom w:w="85" w:type="dxa"/>
              <w:right w:w="85" w:type="dxa"/>
            </w:tcMar>
            <w:shd w:fill="F4F4F4"/>
          </w:tcPr>
          <w:p>
            <w:pPr>
              <w:spacing w:after="40" w:before="20" w:line="252" w:lineRule="auto"/>
            </w:pPr>
            <w:r>
              <w:rPr>
                <w:rFonts w:ascii="Arial" w:hAnsi="Arial"/>
                <w:sz w:val="21"/>
              </w:rPr>
              <w:t>Faces the palate; the inner surfaces of upper teeth.</w:t>
            </w:r>
          </w:p>
        </w:tc>
        <w:tc>
          <w:tcPr>
            <w:tcW w:type="dxa" w:w="2160"/>
            <w:vAlign w:val="center"/>
            <w:tcMar>
              <w:top w:w="85" w:type="dxa"/>
              <w:left w:w="85" w:type="dxa"/>
              <w:bottom w:w="85" w:type="dxa"/>
              <w:right w:w="85" w:type="dxa"/>
            </w:tcMar>
            <w:shd w:fill="F4F4F4"/>
          </w:tcPr>
          <w:p>
            <w:pPr>
              <w:spacing w:after="40" w:before="20" w:line="252" w:lineRule="auto"/>
            </w:pPr>
            <w:r>
              <w:rPr>
                <w:rFonts w:ascii="Arial" w:hAnsi="Arial"/>
                <w:sz w:val="21"/>
              </w:rPr>
              <w:t>P</w:t>
            </w:r>
          </w:p>
        </w:tc>
      </w:tr>
      <w:tr>
        <w:trPr>
          <w:cantSplit/>
        </w:trPr>
        <w:tc>
          <w:tcPr>
            <w:tcW w:type="dxa" w:w="1728"/>
            <w:vAlign w:val="center"/>
            <w:tcMar>
              <w:top w:w="85" w:type="dxa"/>
              <w:left w:w="85" w:type="dxa"/>
              <w:bottom w:w="85" w:type="dxa"/>
              <w:right w:w="85" w:type="dxa"/>
            </w:tcMar>
            <w:shd w:fill="FFFFFF"/>
          </w:tcPr>
          <w:p>
            <w:pPr>
              <w:spacing w:after="40" w:before="20" w:line="252" w:lineRule="auto"/>
              <w:jc w:val="center"/>
            </w:pPr>
            <w:r>
              <w:rPr>
                <w:rFonts w:ascii="Arial" w:hAnsi="Arial"/>
                <w:sz w:val="21"/>
              </w:rPr>
              <w:t>Occlusal</w:t>
            </w:r>
          </w:p>
        </w:tc>
        <w:tc>
          <w:tcPr>
            <w:tcW w:type="dxa" w:w="6192"/>
            <w:vAlign w:val="center"/>
            <w:tcMar>
              <w:top w:w="85" w:type="dxa"/>
              <w:left w:w="85" w:type="dxa"/>
              <w:bottom w:w="85" w:type="dxa"/>
              <w:right w:w="85" w:type="dxa"/>
            </w:tcMar>
            <w:shd w:fill="FFFFFF"/>
          </w:tcPr>
          <w:p>
            <w:pPr>
              <w:spacing w:after="40" w:before="20" w:line="252" w:lineRule="auto"/>
            </w:pPr>
            <w:r>
              <w:rPr>
                <w:rFonts w:ascii="Arial" w:hAnsi="Arial"/>
                <w:sz w:val="21"/>
              </w:rPr>
              <w:t>The chewing surface of a premolar or molar.</w:t>
            </w:r>
          </w:p>
        </w:tc>
        <w:tc>
          <w:tcPr>
            <w:tcW w:type="dxa" w:w="2160"/>
            <w:vAlign w:val="center"/>
            <w:tcMar>
              <w:top w:w="85" w:type="dxa"/>
              <w:left w:w="85" w:type="dxa"/>
              <w:bottom w:w="85" w:type="dxa"/>
              <w:right w:w="85" w:type="dxa"/>
            </w:tcMar>
            <w:shd w:fill="FFFFFF"/>
          </w:tcPr>
          <w:p>
            <w:pPr>
              <w:spacing w:after="40" w:before="20" w:line="252" w:lineRule="auto"/>
            </w:pPr>
            <w:r>
              <w:rPr>
                <w:rFonts w:ascii="Arial" w:hAnsi="Arial"/>
                <w:sz w:val="21"/>
              </w:rPr>
              <w:t>O</w:t>
            </w:r>
          </w:p>
        </w:tc>
      </w:tr>
      <w:tr>
        <w:trPr>
          <w:cantSplit/>
        </w:trPr>
        <w:tc>
          <w:tcPr>
            <w:tcW w:type="dxa" w:w="1728"/>
            <w:vAlign w:val="center"/>
            <w:tcMar>
              <w:top w:w="85" w:type="dxa"/>
              <w:left w:w="85" w:type="dxa"/>
              <w:bottom w:w="85" w:type="dxa"/>
              <w:right w:w="85" w:type="dxa"/>
            </w:tcMar>
            <w:shd w:fill="F4F4F4"/>
          </w:tcPr>
          <w:p>
            <w:pPr>
              <w:spacing w:after="40" w:before="20" w:line="252" w:lineRule="auto"/>
              <w:jc w:val="center"/>
            </w:pPr>
            <w:r>
              <w:rPr>
                <w:rFonts w:ascii="Arial" w:hAnsi="Arial"/>
                <w:sz w:val="21"/>
              </w:rPr>
              <w:t>Incisal</w:t>
            </w:r>
          </w:p>
        </w:tc>
        <w:tc>
          <w:tcPr>
            <w:tcW w:type="dxa" w:w="6192"/>
            <w:vAlign w:val="center"/>
            <w:tcMar>
              <w:top w:w="85" w:type="dxa"/>
              <w:left w:w="85" w:type="dxa"/>
              <w:bottom w:w="85" w:type="dxa"/>
              <w:right w:w="85" w:type="dxa"/>
            </w:tcMar>
            <w:shd w:fill="F4F4F4"/>
          </w:tcPr>
          <w:p>
            <w:pPr>
              <w:spacing w:after="40" w:before="20" w:line="252" w:lineRule="auto"/>
            </w:pPr>
            <w:r>
              <w:rPr>
                <w:rFonts w:ascii="Arial" w:hAnsi="Arial"/>
                <w:sz w:val="21"/>
              </w:rPr>
              <w:t>The cutting edge of a front tooth.</w:t>
            </w:r>
          </w:p>
        </w:tc>
        <w:tc>
          <w:tcPr>
            <w:tcW w:type="dxa" w:w="2160"/>
            <w:vAlign w:val="center"/>
            <w:tcMar>
              <w:top w:w="85" w:type="dxa"/>
              <w:left w:w="85" w:type="dxa"/>
              <w:bottom w:w="85" w:type="dxa"/>
              <w:right w:w="85" w:type="dxa"/>
            </w:tcMar>
            <w:shd w:fill="F4F4F4"/>
          </w:tcPr>
          <w:p>
            <w:pPr>
              <w:spacing w:after="40" w:before="20" w:line="252" w:lineRule="auto"/>
            </w:pPr>
            <w:r>
              <w:rPr>
                <w:rFonts w:ascii="Arial" w:hAnsi="Arial"/>
                <w:sz w:val="21"/>
              </w:rPr>
              <w:t>I</w:t>
            </w:r>
          </w:p>
        </w:tc>
      </w:tr>
    </w:tbl>
    <w:p>
      <w:pPr>
        <w:spacing w:after="0"/>
      </w:pPr>
      <w:r>
        <w:rPr>
          <w:b w:val="0"/>
        </w:rPr>
      </w:r>
    </w:p>
    <w:p>
      <w:r>
        <w:rPr>
          <w:b w:val="0"/>
        </w:rPr>
        <w:t>Mesial and distal are defined by the arch midline, not by the left and right sides of your screen. Some software uses facial for an outer surface, or lingual for inner surfaces generally. Confirm the labels used in the local chart. Avoid using L to mean labial without clarification.</w:t>
      </w:r>
    </w:p>
    <w:p>
      <w:pPr>
        <w:pStyle w:val="Heading2"/>
      </w:pPr>
      <w:r>
        <w:t>Read common surface combinations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2"/>
        <w:gridCol w:w="8208"/>
      </w:tblGrid>
      <w:tr>
        <w:trPr>
          <w:tblHeader/>
          <w:cantSplit/>
        </w:trPr>
        <w:tc>
          <w:tcPr>
            <w:tcW w:type="dxa" w:w="1872"/>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Dictation</w:t>
            </w:r>
          </w:p>
        </w:tc>
        <w:tc>
          <w:tcPr>
            <w:tcW w:type="dxa" w:w="8208"/>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What it means</w:t>
            </w:r>
          </w:p>
        </w:tc>
      </w:tr>
      <w:tr>
        <w:trPr>
          <w:cantSplit/>
        </w:trPr>
        <w:tc>
          <w:tcPr>
            <w:tcW w:type="dxa" w:w="1872"/>
            <w:vAlign w:val="center"/>
            <w:tcMar>
              <w:top w:w="85" w:type="dxa"/>
              <w:left w:w="85" w:type="dxa"/>
              <w:bottom w:w="85" w:type="dxa"/>
              <w:right w:w="85" w:type="dxa"/>
            </w:tcMar>
            <w:shd w:fill="FFFFFF"/>
          </w:tcPr>
          <w:p>
            <w:pPr>
              <w:spacing w:after="40" w:before="20" w:line="252" w:lineRule="auto"/>
            </w:pPr>
            <w:r>
              <w:rPr>
                <w:rFonts w:ascii="Arial" w:hAnsi="Arial"/>
                <w:sz w:val="21"/>
              </w:rPr>
              <w:t>UR6 O</w:t>
            </w:r>
          </w:p>
        </w:tc>
        <w:tc>
          <w:tcPr>
            <w:tcW w:type="dxa" w:w="8208"/>
            <w:vAlign w:val="center"/>
            <w:tcMar>
              <w:top w:w="85" w:type="dxa"/>
              <w:left w:w="85" w:type="dxa"/>
              <w:bottom w:w="85" w:type="dxa"/>
              <w:right w:w="85" w:type="dxa"/>
            </w:tcMar>
            <w:shd w:fill="FFFFFF"/>
          </w:tcPr>
          <w:p>
            <w:pPr>
              <w:spacing w:after="40" w:before="20" w:line="252" w:lineRule="auto"/>
            </w:pPr>
            <w:r>
              <w:rPr>
                <w:rFonts w:ascii="Arial" w:hAnsi="Arial"/>
                <w:sz w:val="21"/>
              </w:rPr>
              <w:t>Upper right first molar, occlusal surface.</w:t>
            </w:r>
          </w:p>
        </w:tc>
      </w:tr>
      <w:tr>
        <w:trPr>
          <w:cantSplit/>
        </w:trPr>
        <w:tc>
          <w:tcPr>
            <w:tcW w:type="dxa" w:w="1872"/>
            <w:vAlign w:val="center"/>
            <w:tcMar>
              <w:top w:w="85" w:type="dxa"/>
              <w:left w:w="85" w:type="dxa"/>
              <w:bottom w:w="85" w:type="dxa"/>
              <w:right w:w="85" w:type="dxa"/>
            </w:tcMar>
            <w:shd w:fill="F4F4F4"/>
          </w:tcPr>
          <w:p>
            <w:pPr>
              <w:spacing w:after="40" w:before="20" w:line="252" w:lineRule="auto"/>
            </w:pPr>
            <w:r>
              <w:rPr>
                <w:rFonts w:ascii="Arial" w:hAnsi="Arial"/>
                <w:sz w:val="21"/>
              </w:rPr>
              <w:t>LL4 DO</w:t>
            </w:r>
          </w:p>
        </w:tc>
        <w:tc>
          <w:tcPr>
            <w:tcW w:type="dxa" w:w="8208"/>
            <w:vAlign w:val="center"/>
            <w:tcMar>
              <w:top w:w="85" w:type="dxa"/>
              <w:left w:w="85" w:type="dxa"/>
              <w:bottom w:w="85" w:type="dxa"/>
              <w:right w:w="85" w:type="dxa"/>
            </w:tcMar>
            <w:shd w:fill="F4F4F4"/>
          </w:tcPr>
          <w:p>
            <w:pPr>
              <w:spacing w:after="40" w:before="20" w:line="252" w:lineRule="auto"/>
            </w:pPr>
            <w:r>
              <w:rPr>
                <w:rFonts w:ascii="Arial" w:hAnsi="Arial"/>
                <w:sz w:val="21"/>
              </w:rPr>
              <w:t>Lower left first premolar, distal and occlusal surfaces.</w:t>
            </w:r>
          </w:p>
        </w:tc>
      </w:tr>
      <w:tr>
        <w:trPr>
          <w:cantSplit/>
        </w:trPr>
        <w:tc>
          <w:tcPr>
            <w:tcW w:type="dxa" w:w="1872"/>
            <w:vAlign w:val="center"/>
            <w:tcMar>
              <w:top w:w="85" w:type="dxa"/>
              <w:left w:w="85" w:type="dxa"/>
              <w:bottom w:w="85" w:type="dxa"/>
              <w:right w:w="85" w:type="dxa"/>
            </w:tcMar>
            <w:shd w:fill="FFFFFF"/>
          </w:tcPr>
          <w:p>
            <w:pPr>
              <w:spacing w:after="40" w:before="20" w:line="252" w:lineRule="auto"/>
            </w:pPr>
            <w:r>
              <w:rPr>
                <w:rFonts w:ascii="Arial" w:hAnsi="Arial"/>
                <w:sz w:val="21"/>
              </w:rPr>
              <w:t>UL6 MO</w:t>
            </w:r>
          </w:p>
        </w:tc>
        <w:tc>
          <w:tcPr>
            <w:tcW w:type="dxa" w:w="8208"/>
            <w:vAlign w:val="center"/>
            <w:tcMar>
              <w:top w:w="85" w:type="dxa"/>
              <w:left w:w="85" w:type="dxa"/>
              <w:bottom w:w="85" w:type="dxa"/>
              <w:right w:w="85" w:type="dxa"/>
            </w:tcMar>
            <w:shd w:fill="FFFFFF"/>
          </w:tcPr>
          <w:p>
            <w:pPr>
              <w:spacing w:after="40" w:before="20" w:line="252" w:lineRule="auto"/>
            </w:pPr>
            <w:r>
              <w:rPr>
                <w:rFonts w:ascii="Arial" w:hAnsi="Arial"/>
                <w:sz w:val="21"/>
              </w:rPr>
              <w:t>Upper left first molar, mesial and occlusal surfaces.</w:t>
            </w:r>
          </w:p>
        </w:tc>
      </w:tr>
      <w:tr>
        <w:trPr>
          <w:cantSplit/>
        </w:trPr>
        <w:tc>
          <w:tcPr>
            <w:tcW w:type="dxa" w:w="1872"/>
            <w:vAlign w:val="center"/>
            <w:tcMar>
              <w:top w:w="85" w:type="dxa"/>
              <w:left w:w="85" w:type="dxa"/>
              <w:bottom w:w="85" w:type="dxa"/>
              <w:right w:w="85" w:type="dxa"/>
            </w:tcMar>
            <w:shd w:fill="F4F4F4"/>
          </w:tcPr>
          <w:p>
            <w:pPr>
              <w:spacing w:after="40" w:before="20" w:line="252" w:lineRule="auto"/>
            </w:pPr>
            <w:r>
              <w:rPr>
                <w:rFonts w:ascii="Arial" w:hAnsi="Arial"/>
                <w:sz w:val="21"/>
              </w:rPr>
              <w:t>LR6 MOD</w:t>
            </w:r>
          </w:p>
        </w:tc>
        <w:tc>
          <w:tcPr>
            <w:tcW w:type="dxa" w:w="8208"/>
            <w:vAlign w:val="center"/>
            <w:tcMar>
              <w:top w:w="85" w:type="dxa"/>
              <w:left w:w="85" w:type="dxa"/>
              <w:bottom w:w="85" w:type="dxa"/>
              <w:right w:w="85" w:type="dxa"/>
            </w:tcMar>
            <w:shd w:fill="F4F4F4"/>
          </w:tcPr>
          <w:p>
            <w:pPr>
              <w:spacing w:after="40" w:before="20" w:line="252" w:lineRule="auto"/>
            </w:pPr>
            <w:r>
              <w:rPr>
                <w:rFonts w:ascii="Arial" w:hAnsi="Arial"/>
                <w:sz w:val="21"/>
              </w:rPr>
              <w:t>Lower right first molar, mesial, occlusal and distal surfaces.</w:t>
            </w:r>
          </w:p>
        </w:tc>
      </w:tr>
      <w:tr>
        <w:trPr>
          <w:cantSplit/>
        </w:trPr>
        <w:tc>
          <w:tcPr>
            <w:tcW w:type="dxa" w:w="1872"/>
            <w:vAlign w:val="center"/>
            <w:tcMar>
              <w:top w:w="85" w:type="dxa"/>
              <w:left w:w="85" w:type="dxa"/>
              <w:bottom w:w="85" w:type="dxa"/>
              <w:right w:w="85" w:type="dxa"/>
            </w:tcMar>
            <w:shd w:fill="FFFFFF"/>
          </w:tcPr>
          <w:p>
            <w:pPr>
              <w:spacing w:after="40" w:before="20" w:line="252" w:lineRule="auto"/>
            </w:pPr>
            <w:r>
              <w:rPr>
                <w:rFonts w:ascii="Arial" w:hAnsi="Arial"/>
                <w:sz w:val="21"/>
              </w:rPr>
              <w:t>UL1 palatal</w:t>
            </w:r>
          </w:p>
        </w:tc>
        <w:tc>
          <w:tcPr>
            <w:tcW w:type="dxa" w:w="8208"/>
            <w:vAlign w:val="center"/>
            <w:tcMar>
              <w:top w:w="85" w:type="dxa"/>
              <w:left w:w="85" w:type="dxa"/>
              <w:bottom w:w="85" w:type="dxa"/>
              <w:right w:w="85" w:type="dxa"/>
            </w:tcMar>
            <w:shd w:fill="FFFFFF"/>
          </w:tcPr>
          <w:p>
            <w:pPr>
              <w:spacing w:after="40" w:before="20" w:line="252" w:lineRule="auto"/>
            </w:pPr>
            <w:r>
              <w:rPr>
                <w:rFonts w:ascii="Arial" w:hAnsi="Arial"/>
                <w:sz w:val="21"/>
              </w:rPr>
              <w:t>Upper left central incisor, surface facing the palate.</w:t>
            </w:r>
          </w:p>
        </w:tc>
      </w:tr>
    </w:tbl>
    <w:p>
      <w:pPr>
        <w:spacing w:after="0"/>
      </w:pPr>
      <w:r>
        <w:rPr>
          <w:b w:val="0"/>
        </w:rPr>
      </w:r>
    </w:p>
    <w:p>
      <w:r>
        <w:rPr>
          <w:b/>
        </w:rPr>
        <w:t xml:space="preserve">Practise </w:t>
      </w:r>
      <w:r>
        <w:t>On a model, point to M, D, O, B and P on UR6, then M, D, O, B and L on LL4. Explain why the inner surface name changes.</w:t>
      </w:r>
    </w:p>
    <w:p>
      <w:pPr>
        <w:spacing w:after="140"/>
      </w:pPr>
      <w:r>
        <w:t xml:space="preserve">Read: </w:t>
      </w:r>
      <w:hyperlink r:id="rId15">
        <w:r>
          <w:rPr>
            <w:color w:val="205781"/>
            <w:sz w:val="20"/>
          </w:rPr>
          <w:t>American Dental Association clinical glossary</w:t>
        </w:r>
      </w:hyperlink>
    </w:p>
    <w:p>
      <w:pPr>
        <w:pStyle w:val="Heading1"/>
        <w:pageBreakBefore/>
      </w:pPr>
      <w:r>
        <w:t>The five common chart entries</w:t>
      </w:r>
    </w:p>
    <w:p>
      <w:r>
        <w:rPr>
          <w:b w:val="0"/>
        </w:rPr>
        <w:t>Record what the clinician identifies and dictates. The trainee’s job at this stage is accurate recording. The clinician diagnoses disease, chooses treatment and confirms whether work is existing, planned or completed.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728"/>
        <w:gridCol w:w="3600"/>
        <w:gridCol w:w="4752"/>
      </w:tblGrid>
      <w:tr>
        <w:trPr>
          <w:tblHeader/>
          <w:cantSplit/>
        </w:trPr>
        <w:tc>
          <w:tcPr>
            <w:tcW w:type="dxa" w:w="1728"/>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Entry</w:t>
            </w:r>
          </w:p>
        </w:tc>
        <w:tc>
          <w:tcPr>
            <w:tcW w:type="dxa" w:w="3600"/>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What it means</w:t>
            </w:r>
          </w:p>
        </w:tc>
        <w:tc>
          <w:tcPr>
            <w:tcW w:type="dxa" w:w="4752"/>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What to record or clarify</w:t>
            </w:r>
          </w:p>
        </w:tc>
      </w:tr>
      <w:tr>
        <w:trPr>
          <w:cantSplit/>
        </w:trPr>
        <w:tc>
          <w:tcPr>
            <w:tcW w:type="dxa" w:w="1728"/>
            <w:vAlign w:val="center"/>
            <w:tcMar>
              <w:top w:w="85" w:type="dxa"/>
              <w:left w:w="85" w:type="dxa"/>
              <w:bottom w:w="85" w:type="dxa"/>
              <w:right w:w="85" w:type="dxa"/>
            </w:tcMar>
            <w:shd w:fill="FFFFFF"/>
          </w:tcPr>
          <w:p>
            <w:pPr>
              <w:spacing w:after="40" w:before="20" w:line="252" w:lineRule="auto"/>
              <w:jc w:val="center"/>
            </w:pPr>
            <w:r>
              <w:rPr>
                <w:rFonts w:ascii="Arial" w:hAnsi="Arial"/>
                <w:sz w:val="20"/>
              </w:rPr>
              <w:t>Filling</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t>A restoration replacing lost or damaged tooth structure.</w:t>
            </w:r>
          </w:p>
        </w:tc>
        <w:tc>
          <w:tcPr>
            <w:tcW w:type="dxa" w:w="4752"/>
            <w:vAlign w:val="center"/>
            <w:tcMar>
              <w:top w:w="85" w:type="dxa"/>
              <w:left w:w="85" w:type="dxa"/>
              <w:bottom w:w="85" w:type="dxa"/>
              <w:right w:w="85" w:type="dxa"/>
            </w:tcMar>
            <w:shd w:fill="FFFFFF"/>
          </w:tcPr>
          <w:p>
            <w:pPr>
              <w:spacing w:after="40" w:before="20" w:line="252" w:lineRule="auto"/>
            </w:pPr>
            <w:r>
              <w:rPr>
                <w:rFonts w:ascii="Arial" w:hAnsi="Arial"/>
                <w:sz w:val="20"/>
              </w:rPr>
              <w:t>Tooth, surfaces and material if known and dictated. Clarify whether it already exists or is proposed.</w:t>
            </w:r>
          </w:p>
        </w:tc>
      </w:tr>
      <w:tr>
        <w:trPr>
          <w:cantSplit/>
        </w:trPr>
        <w:tc>
          <w:tcPr>
            <w:tcW w:type="dxa" w:w="1728"/>
            <w:vAlign w:val="center"/>
            <w:tcMar>
              <w:top w:w="85" w:type="dxa"/>
              <w:left w:w="85" w:type="dxa"/>
              <w:bottom w:w="85" w:type="dxa"/>
              <w:right w:w="85" w:type="dxa"/>
            </w:tcMar>
            <w:shd w:fill="F4F4F4"/>
          </w:tcPr>
          <w:p>
            <w:pPr>
              <w:spacing w:after="40" w:before="20" w:line="252" w:lineRule="auto"/>
              <w:jc w:val="center"/>
            </w:pPr>
            <w:r>
              <w:rPr>
                <w:rFonts w:ascii="Arial" w:hAnsi="Arial"/>
                <w:sz w:val="20"/>
              </w:rPr>
              <w:t>Decay or caries</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t>Disease that damages tooth tissue. The clinician identifies its location and significance.</w:t>
            </w:r>
          </w:p>
        </w:tc>
        <w:tc>
          <w:tcPr>
            <w:tcW w:type="dxa" w:w="4752"/>
            <w:vAlign w:val="center"/>
            <w:tcMar>
              <w:top w:w="85" w:type="dxa"/>
              <w:left w:w="85" w:type="dxa"/>
              <w:bottom w:w="85" w:type="dxa"/>
              <w:right w:w="85" w:type="dxa"/>
            </w:tcMar>
            <w:shd w:fill="F4F4F4"/>
          </w:tcPr>
          <w:p>
            <w:pPr>
              <w:spacing w:after="40" w:before="20" w:line="252" w:lineRule="auto"/>
            </w:pPr>
            <w:r>
              <w:rPr>
                <w:rFonts w:ascii="Arial" w:hAnsi="Arial"/>
                <w:sz w:val="20"/>
              </w:rPr>
              <w:t>Tooth and affected surface or extent as dictated. A decay finding does not automatically authorise a filling entry.</w:t>
            </w:r>
          </w:p>
        </w:tc>
      </w:tr>
      <w:tr>
        <w:trPr>
          <w:cantSplit/>
        </w:trPr>
        <w:tc>
          <w:tcPr>
            <w:tcW w:type="dxa" w:w="1728"/>
            <w:vAlign w:val="center"/>
            <w:tcMar>
              <w:top w:w="85" w:type="dxa"/>
              <w:left w:w="85" w:type="dxa"/>
              <w:bottom w:w="85" w:type="dxa"/>
              <w:right w:w="85" w:type="dxa"/>
            </w:tcMar>
            <w:shd w:fill="FFFFFF"/>
          </w:tcPr>
          <w:p>
            <w:pPr>
              <w:spacing w:after="40" w:before="20" w:line="252" w:lineRule="auto"/>
              <w:jc w:val="center"/>
            </w:pPr>
            <w:r>
              <w:rPr>
                <w:rFonts w:ascii="Arial" w:hAnsi="Arial"/>
                <w:sz w:val="20"/>
              </w:rPr>
              <w:t>Crown</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t>A manufactured covering fitted over prepared tooth structure.</w:t>
            </w:r>
          </w:p>
        </w:tc>
        <w:tc>
          <w:tcPr>
            <w:tcW w:type="dxa" w:w="4752"/>
            <w:vAlign w:val="center"/>
            <w:tcMar>
              <w:top w:w="85" w:type="dxa"/>
              <w:left w:w="85" w:type="dxa"/>
              <w:bottom w:w="85" w:type="dxa"/>
              <w:right w:w="85" w:type="dxa"/>
            </w:tcMar>
            <w:shd w:fill="FFFFFF"/>
          </w:tcPr>
          <w:p>
            <w:pPr>
              <w:spacing w:after="40" w:before="20" w:line="252" w:lineRule="auto"/>
            </w:pPr>
            <w:r>
              <w:rPr>
                <w:rFonts w:ascii="Arial" w:hAnsi="Arial"/>
                <w:sz w:val="20"/>
              </w:rPr>
              <w:t>Tooth, crown type if dictated, and whether existing, planned, temporary or fitted.</w:t>
            </w:r>
          </w:p>
        </w:tc>
      </w:tr>
      <w:tr>
        <w:trPr>
          <w:cantSplit/>
        </w:trPr>
        <w:tc>
          <w:tcPr>
            <w:tcW w:type="dxa" w:w="1728"/>
            <w:vAlign w:val="center"/>
            <w:tcMar>
              <w:top w:w="85" w:type="dxa"/>
              <w:left w:w="85" w:type="dxa"/>
              <w:bottom w:w="85" w:type="dxa"/>
              <w:right w:w="85" w:type="dxa"/>
            </w:tcMar>
            <w:shd w:fill="F4F4F4"/>
          </w:tcPr>
          <w:p>
            <w:pPr>
              <w:spacing w:after="40" w:before="20" w:line="252" w:lineRule="auto"/>
              <w:jc w:val="center"/>
            </w:pPr>
            <w:r>
              <w:rPr>
                <w:rFonts w:ascii="Arial" w:hAnsi="Arial"/>
                <w:sz w:val="20"/>
              </w:rPr>
              <w:t>Extraction</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t>Removal of a tooth or tooth part.</w:t>
            </w:r>
          </w:p>
        </w:tc>
        <w:tc>
          <w:tcPr>
            <w:tcW w:type="dxa" w:w="4752"/>
            <w:vAlign w:val="center"/>
            <w:tcMar>
              <w:top w:w="85" w:type="dxa"/>
              <w:left w:w="85" w:type="dxa"/>
              <w:bottom w:w="85" w:type="dxa"/>
              <w:right w:w="85" w:type="dxa"/>
            </w:tcMar>
            <w:shd w:fill="F4F4F4"/>
          </w:tcPr>
          <w:p>
            <w:pPr>
              <w:spacing w:after="40" w:before="20" w:line="252" w:lineRule="auto"/>
            </w:pPr>
            <w:r>
              <w:rPr>
                <w:rFonts w:ascii="Arial" w:hAnsi="Arial"/>
                <w:sz w:val="20"/>
              </w:rPr>
              <w:t>Which tooth and whether removal is planned or has actually been completed. A planned extraction does not make the tooth missing today.</w:t>
            </w:r>
          </w:p>
        </w:tc>
      </w:tr>
      <w:tr>
        <w:trPr>
          <w:cantSplit/>
        </w:trPr>
        <w:tc>
          <w:tcPr>
            <w:tcW w:type="dxa" w:w="1728"/>
            <w:vAlign w:val="center"/>
            <w:tcMar>
              <w:top w:w="85" w:type="dxa"/>
              <w:left w:w="85" w:type="dxa"/>
              <w:bottom w:w="85" w:type="dxa"/>
              <w:right w:w="85" w:type="dxa"/>
            </w:tcMar>
            <w:shd w:fill="FFFFFF"/>
          </w:tcPr>
          <w:p>
            <w:pPr>
              <w:spacing w:after="40" w:before="20" w:line="252" w:lineRule="auto"/>
              <w:jc w:val="center"/>
            </w:pPr>
            <w:r>
              <w:rPr>
                <w:rFonts w:ascii="Arial" w:hAnsi="Arial"/>
                <w:sz w:val="20"/>
              </w:rPr>
              <w:t>Retained root</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t>Root structure remains when most or all of the crown is absent, or a root fragment remains.</w:t>
            </w:r>
          </w:p>
        </w:tc>
        <w:tc>
          <w:tcPr>
            <w:tcW w:type="dxa" w:w="4752"/>
            <w:vAlign w:val="center"/>
            <w:tcMar>
              <w:top w:w="85" w:type="dxa"/>
              <w:left w:w="85" w:type="dxa"/>
              <w:bottom w:w="85" w:type="dxa"/>
              <w:right w:w="85" w:type="dxa"/>
            </w:tcMar>
            <w:shd w:fill="FFFFFF"/>
          </w:tcPr>
          <w:p>
            <w:pPr>
              <w:spacing w:after="40" w:before="20" w:line="252" w:lineRule="auto"/>
            </w:pPr>
            <w:r>
              <w:rPr>
                <w:rFonts w:ascii="Arial" w:hAnsi="Arial"/>
                <w:sz w:val="20"/>
              </w:rPr>
              <w:t>The clinician’s retained-root finding on the correct tooth. Do not substitute a missing-tooth symbol or invent a treatment plan.</w:t>
            </w:r>
          </w:p>
        </w:tc>
      </w:tr>
    </w:tbl>
    <w:p>
      <w:pPr>
        <w:spacing w:after="0"/>
      </w:pPr>
      <w:r>
        <w:rPr>
          <w:b w:val="0"/>
        </w:rPr>
      </w:r>
    </w:p>
    <w:p>
      <w:pPr>
        <w:pStyle w:val="Heading2"/>
      </w:pPr>
      <w:r>
        <w:t>Existing planned and completed are different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20"/>
        <w:gridCol w:w="5760"/>
      </w:tblGrid>
      <w:tr>
        <w:trPr>
          <w:tblHeader/>
          <w:cantSplit/>
        </w:trPr>
        <w:tc>
          <w:tcPr>
            <w:tcW w:type="dxa" w:w="4320"/>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Clinician says</w:t>
            </w:r>
          </w:p>
        </w:tc>
        <w:tc>
          <w:tcPr>
            <w:tcW w:type="dxa" w:w="5760"/>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Correct idea</w:t>
            </w:r>
          </w:p>
        </w:tc>
      </w:tr>
      <w:tr>
        <w:trPr>
          <w:cantSplit/>
        </w:trPr>
        <w:tc>
          <w:tcPr>
            <w:tcW w:type="dxa" w:w="4320"/>
            <w:vAlign w:val="center"/>
            <w:tcMar>
              <w:top w:w="85" w:type="dxa"/>
              <w:left w:w="85" w:type="dxa"/>
              <w:bottom w:w="85" w:type="dxa"/>
              <w:right w:w="85" w:type="dxa"/>
            </w:tcMar>
            <w:shd w:fill="FFFFFF"/>
          </w:tcPr>
          <w:p>
            <w:pPr>
              <w:spacing w:after="40" w:before="20" w:line="252" w:lineRule="auto"/>
            </w:pPr>
            <w:r>
              <w:rPr>
                <w:rFonts w:ascii="Arial" w:hAnsi="Arial"/>
                <w:sz w:val="20"/>
              </w:rPr>
              <w:t>UR6 has an existing O amalgam</w:t>
            </w:r>
          </w:p>
        </w:tc>
        <w:tc>
          <w:tcPr>
            <w:tcW w:type="dxa" w:w="5760"/>
            <w:vAlign w:val="center"/>
            <w:tcMar>
              <w:top w:w="85" w:type="dxa"/>
              <w:left w:w="85" w:type="dxa"/>
              <w:bottom w:w="85" w:type="dxa"/>
              <w:right w:w="85" w:type="dxa"/>
            </w:tcMar>
            <w:shd w:fill="FFFFFF"/>
          </w:tcPr>
          <w:p>
            <w:pPr>
              <w:spacing w:after="40" w:before="20" w:line="252" w:lineRule="auto"/>
            </w:pPr>
            <w:r>
              <w:rPr>
                <w:rFonts w:ascii="Arial" w:hAnsi="Arial"/>
                <w:sz w:val="20"/>
              </w:rPr>
              <w:t>Record an existing restoration with the local Base service.</w:t>
            </w:r>
          </w:p>
        </w:tc>
      </w:tr>
      <w:tr>
        <w:trPr>
          <w:cantSplit/>
        </w:trPr>
        <w:tc>
          <w:tcPr>
            <w:tcW w:type="dxa" w:w="4320"/>
            <w:vAlign w:val="center"/>
            <w:tcMar>
              <w:top w:w="85" w:type="dxa"/>
              <w:left w:w="85" w:type="dxa"/>
              <w:bottom w:w="85" w:type="dxa"/>
              <w:right w:w="85" w:type="dxa"/>
            </w:tcMar>
            <w:shd w:fill="F4F4F4"/>
          </w:tcPr>
          <w:p>
            <w:pPr>
              <w:spacing w:after="40" w:before="20" w:line="252" w:lineRule="auto"/>
            </w:pPr>
            <w:r>
              <w:rPr>
                <w:rFonts w:ascii="Arial" w:hAnsi="Arial"/>
                <w:sz w:val="20"/>
              </w:rPr>
              <w:t>LL4 distal decay</w:t>
            </w:r>
          </w:p>
        </w:tc>
        <w:tc>
          <w:tcPr>
            <w:tcW w:type="dxa" w:w="5760"/>
            <w:vAlign w:val="center"/>
            <w:tcMar>
              <w:top w:w="85" w:type="dxa"/>
              <w:left w:w="85" w:type="dxa"/>
              <w:bottom w:w="85" w:type="dxa"/>
              <w:right w:w="85" w:type="dxa"/>
            </w:tcMar>
            <w:shd w:fill="F4F4F4"/>
          </w:tcPr>
          <w:p>
            <w:pPr>
              <w:spacing w:after="40" w:before="20" w:line="252" w:lineRule="auto"/>
            </w:pPr>
            <w:r>
              <w:rPr>
                <w:rFonts w:ascii="Arial" w:hAnsi="Arial"/>
                <w:sz w:val="20"/>
              </w:rPr>
              <w:t>Record the existing finding. Wait for any separate treatment instruction.</w:t>
            </w:r>
          </w:p>
        </w:tc>
      </w:tr>
      <w:tr>
        <w:trPr>
          <w:cantSplit/>
        </w:trPr>
        <w:tc>
          <w:tcPr>
            <w:tcW w:type="dxa" w:w="4320"/>
            <w:vAlign w:val="center"/>
            <w:tcMar>
              <w:top w:w="85" w:type="dxa"/>
              <w:left w:w="85" w:type="dxa"/>
              <w:bottom w:w="85" w:type="dxa"/>
              <w:right w:w="85" w:type="dxa"/>
            </w:tcMar>
            <w:shd w:fill="FFFFFF"/>
          </w:tcPr>
          <w:p>
            <w:pPr>
              <w:spacing w:after="40" w:before="20" w:line="252" w:lineRule="auto"/>
            </w:pPr>
            <w:r>
              <w:rPr>
                <w:rFonts w:ascii="Arial" w:hAnsi="Arial"/>
                <w:sz w:val="20"/>
              </w:rPr>
              <w:t>Plan an LL4 DO composite</w:t>
            </w:r>
          </w:p>
        </w:tc>
        <w:tc>
          <w:tcPr>
            <w:tcW w:type="dxa" w:w="5760"/>
            <w:vAlign w:val="center"/>
            <w:tcMar>
              <w:top w:w="85" w:type="dxa"/>
              <w:left w:w="85" w:type="dxa"/>
              <w:bottom w:w="85" w:type="dxa"/>
              <w:right w:w="85" w:type="dxa"/>
            </w:tcMar>
            <w:shd w:fill="FFFFFF"/>
          </w:tcPr>
          <w:p>
            <w:pPr>
              <w:spacing w:after="40" w:before="20" w:line="252" w:lineRule="auto"/>
            </w:pPr>
            <w:r>
              <w:rPr>
                <w:rFonts w:ascii="Arial" w:hAnsi="Arial"/>
                <w:sz w:val="20"/>
              </w:rPr>
              <w:t>Add a proposed restoration to the confirmed course of treatment.</w:t>
            </w:r>
          </w:p>
        </w:tc>
      </w:tr>
      <w:tr>
        <w:trPr>
          <w:cantSplit/>
        </w:trPr>
        <w:tc>
          <w:tcPr>
            <w:tcW w:type="dxa" w:w="4320"/>
            <w:vAlign w:val="center"/>
            <w:tcMar>
              <w:top w:w="85" w:type="dxa"/>
              <w:left w:w="85" w:type="dxa"/>
              <w:bottom w:w="85" w:type="dxa"/>
              <w:right w:w="85" w:type="dxa"/>
            </w:tcMar>
            <w:shd w:fill="F4F4F4"/>
          </w:tcPr>
          <w:p>
            <w:pPr>
              <w:spacing w:after="40" w:before="20" w:line="252" w:lineRule="auto"/>
            </w:pPr>
            <w:r>
              <w:rPr>
                <w:rFonts w:ascii="Arial" w:hAnsi="Arial"/>
                <w:sz w:val="20"/>
              </w:rPr>
              <w:t>The LL4 DO composite was completed today</w:t>
            </w:r>
          </w:p>
        </w:tc>
        <w:tc>
          <w:tcPr>
            <w:tcW w:type="dxa" w:w="5760"/>
            <w:vAlign w:val="center"/>
            <w:tcMar>
              <w:top w:w="85" w:type="dxa"/>
              <w:left w:w="85" w:type="dxa"/>
              <w:bottom w:w="85" w:type="dxa"/>
              <w:right w:w="85" w:type="dxa"/>
            </w:tcMar>
            <w:shd w:fill="F4F4F4"/>
          </w:tcPr>
          <w:p>
            <w:pPr>
              <w:spacing w:after="40" w:before="20" w:line="252" w:lineRule="auto"/>
            </w:pPr>
            <w:r>
              <w:rPr>
                <w:rFonts w:ascii="Arial" w:hAnsi="Arial"/>
                <w:sz w:val="20"/>
              </w:rPr>
              <w:t>Record completion only after confirmation and within the learner’s permissions.</w:t>
            </w:r>
          </w:p>
        </w:tc>
      </w:tr>
      <w:tr>
        <w:trPr>
          <w:cantSplit/>
        </w:trPr>
        <w:tc>
          <w:tcPr>
            <w:tcW w:type="dxa" w:w="4320"/>
            <w:vAlign w:val="center"/>
            <w:tcMar>
              <w:top w:w="85" w:type="dxa"/>
              <w:left w:w="85" w:type="dxa"/>
              <w:bottom w:w="85" w:type="dxa"/>
              <w:right w:w="85" w:type="dxa"/>
            </w:tcMar>
            <w:shd w:fill="FFFFFF"/>
          </w:tcPr>
          <w:p>
            <w:pPr>
              <w:spacing w:after="40" w:before="20" w:line="252" w:lineRule="auto"/>
            </w:pPr>
            <w:r>
              <w:rPr>
                <w:rFonts w:ascii="Arial" w:hAnsi="Arial"/>
                <w:sz w:val="20"/>
              </w:rPr>
              <w:t>LL6 retained root</w:t>
            </w:r>
          </w:p>
        </w:tc>
        <w:tc>
          <w:tcPr>
            <w:tcW w:type="dxa" w:w="5760"/>
            <w:vAlign w:val="center"/>
            <w:tcMar>
              <w:top w:w="85" w:type="dxa"/>
              <w:left w:w="85" w:type="dxa"/>
              <w:bottom w:w="85" w:type="dxa"/>
              <w:right w:w="85" w:type="dxa"/>
            </w:tcMar>
            <w:shd w:fill="FFFFFF"/>
          </w:tcPr>
          <w:p>
            <w:pPr>
              <w:spacing w:after="40" w:before="20" w:line="252" w:lineRule="auto"/>
            </w:pPr>
            <w:r>
              <w:rPr>
                <w:rFonts w:ascii="Arial" w:hAnsi="Arial"/>
                <w:sz w:val="20"/>
              </w:rPr>
              <w:t>Record retained root. It is not the same as an absent tooth.</w:t>
            </w:r>
          </w:p>
        </w:tc>
      </w:tr>
    </w:tbl>
    <w:p>
      <w:pPr>
        <w:spacing w:after="0"/>
      </w:pPr>
      <w:r>
        <w:rPr>
          <w:b w:val="0"/>
        </w:rPr>
      </w:r>
    </w:p>
    <w:p>
      <w:r>
        <w:rPr>
          <w:b/>
        </w:rPr>
        <w:t xml:space="preserve">Read back </w:t>
      </w:r>
      <w:r>
        <w:t>“LL4, distal and occlusal composite, planned on this course. Is that correct?” If any part is unclear, stop and ask.</w:t>
      </w:r>
    </w:p>
    <w:p>
      <w:pPr>
        <w:spacing w:after="140"/>
      </w:pPr>
      <w:r>
        <w:t xml:space="preserve">Read: </w:t>
      </w:r>
      <w:hyperlink r:id="rId16">
        <w:r>
          <w:rPr>
            <w:color w:val="205781"/>
            <w:sz w:val="20"/>
          </w:rPr>
          <w:t>SOE Base Charting</w:t>
        </w:r>
      </w:hyperlink>
    </w:p>
    <w:p>
      <w:pPr>
        <w:spacing w:after="140"/>
      </w:pPr>
      <w:r>
        <w:t xml:space="preserve">Read: </w:t>
      </w:r>
      <w:hyperlink r:id="rId17">
        <w:r>
          <w:rPr>
            <w:color w:val="205781"/>
            <w:sz w:val="20"/>
          </w:rPr>
          <w:t>NIDCR dental fillings and tooth decay</w:t>
        </w:r>
      </w:hyperlink>
    </w:p>
    <w:p>
      <w:pPr>
        <w:pStyle w:val="Heading1"/>
        <w:pageBreakBefore/>
      </w:pPr>
      <w:r>
        <w:t>Charting in SOE EXACT</w:t>
      </w:r>
    </w:p>
    <w:p>
      <w:pPr>
        <w:pStyle w:val="Heading2"/>
      </w:pPr>
      <w:r>
        <w:t>Before entering anything</w:t>
      </w:r>
    </w:p>
    <w:p>
      <w:r>
        <w:rPr>
          <w:b w:val="0"/>
        </w:rPr>
        <w:t>Use your own authorised login. Confirm the correct patient using the practice identification process, the examination date, tooth label, dentition view and clinician’s instruction. Check whether you are recording an existing finding or proposed treatment. Training exercises belong in an approved demonstration environment.</w:t>
      </w:r>
    </w:p>
    <w:p>
      <w:pPr>
        <w:pStyle w:val="Heading2"/>
      </w:pPr>
      <w:r>
        <w:t>Existing findings in Base</w:t>
      </w:r>
    </w:p>
    <w:p>
      <w:r>
        <w:rPr>
          <w:b/>
        </w:rPr>
        <w:t xml:space="preserve">1 </w:t>
      </w:r>
      <w:r>
        <w:t>Open the patient’s Chart tab and select Base.</w:t>
      </w:r>
    </w:p>
    <w:p>
      <w:r>
        <w:rPr>
          <w:b/>
        </w:rPr>
        <w:t xml:space="preserve">2 </w:t>
      </w:r>
      <w:r>
        <w:t>Find and select the local service for the dictated finding. The trainer shows the service category and description.</w:t>
      </w:r>
    </w:p>
    <w:p>
      <w:r>
        <w:rPr>
          <w:b/>
        </w:rPr>
        <w:t xml:space="preserve">3 </w:t>
      </w:r>
      <w:r>
        <w:t>Apply it to the correct tooth and surface, where applicable. Alternatively, double-click the service and complete the tooth or other prompts.</w:t>
      </w:r>
    </w:p>
    <w:p>
      <w:r>
        <w:rPr>
          <w:b/>
        </w:rPr>
        <w:t xml:space="preserve">4 </w:t>
      </w:r>
      <w:r>
        <w:t>Check the displayed entry and read it back. Ask the supervisor to deal with an incorrect or uncertain entry.</w:t>
      </w:r>
    </w:p>
    <w:p>
      <w:pPr>
        <w:pStyle w:val="Heading2"/>
      </w:pPr>
      <w:r>
        <w:t>Planned treatment on a course</w:t>
      </w:r>
    </w:p>
    <w:p>
      <w:r>
        <w:rPr>
          <w:b/>
        </w:rPr>
        <w:t xml:space="preserve">1 </w:t>
      </w:r>
      <w:r>
        <w:t>Select the clinician-confirmed course of treatment, usually shown as a numbered COT tab.</w:t>
      </w:r>
    </w:p>
    <w:p>
      <w:r>
        <w:rPr>
          <w:b/>
        </w:rPr>
        <w:t xml:space="preserve">2 </w:t>
      </w:r>
      <w:r>
        <w:t>Select the instructed service and tooth or surfaces, or double-click the service and complete its prompts.</w:t>
      </w:r>
    </w:p>
    <w:p>
      <w:r>
        <w:rPr>
          <w:b/>
        </w:rPr>
        <w:t xml:space="preserve">3 </w:t>
      </w:r>
      <w:r>
        <w:t>Check the tooth, surfaces, description, provider and planned status. Confirm with the clinician before moving on.</w:t>
      </w:r>
    </w:p>
    <w:p>
      <w:r>
        <w:rPr>
          <w:b w:val="0"/>
        </w:rPr>
        <w:t>If a new COT is required, SOE documents +1 above the COT area, followed by the course settings and OK. The supervisor should handle course creation and payor settings until the learner has been taught and authorised to do this.</w:t>
      </w:r>
    </w:p>
    <w:p>
      <w:pPr>
        <w:pStyle w:val="Heading2"/>
      </w:pPr>
      <w:r>
        <w:t>Completion and corrections</w:t>
      </w:r>
    </w:p>
    <w:p>
      <w:r>
        <w:rPr>
          <w:b w:val="0"/>
        </w:rPr>
        <w:t>Mark a service completed only when the clinician confirms it was performed and the learner is authorised to record completion. Charge invoices completed items; TC completes the course and also invoices completed work. These are separate actions, not general Save buttons.</w:t>
      </w:r>
    </w:p>
    <w:p>
      <w:r>
        <w:rPr>
          <w:b w:val="0"/>
        </w:rPr>
        <w:t>Repeatedly applying the same Base service can remove it. Do not try repeated clicks to fix a symbol. Ask before altering history, deleting entries, changing fees or moving treatment between courses. Follow the authorised correction process.</w:t>
      </w:r>
    </w:p>
    <w:p>
      <w:pPr>
        <w:spacing w:after="140"/>
      </w:pPr>
      <w:r>
        <w:t xml:space="preserve">Read: </w:t>
      </w:r>
      <w:hyperlink r:id="rId16">
        <w:r>
          <w:rPr>
            <w:color w:val="205781"/>
            <w:sz w:val="20"/>
          </w:rPr>
          <w:t>SOE Base Charting</w:t>
        </w:r>
      </w:hyperlink>
    </w:p>
    <w:p>
      <w:pPr>
        <w:spacing w:after="140"/>
      </w:pPr>
      <w:r>
        <w:t xml:space="preserve">Read: </w:t>
      </w:r>
      <w:hyperlink r:id="rId18">
        <w:r>
          <w:rPr>
            <w:color w:val="205781"/>
            <w:sz w:val="20"/>
          </w:rPr>
          <w:t>SOE Charting Treatment</w:t>
        </w:r>
      </w:hyperlink>
    </w:p>
    <w:p>
      <w:pPr>
        <w:spacing w:after="140"/>
      </w:pPr>
      <w:r>
        <w:t xml:space="preserve">Read: </w:t>
      </w:r>
      <w:hyperlink r:id="rId19">
        <w:r>
          <w:rPr>
            <w:color w:val="205781"/>
            <w:sz w:val="20"/>
          </w:rPr>
          <w:t>SOE charging and completing treatment</w:t>
        </w:r>
      </w:hyperlink>
    </w:p>
    <w:p>
      <w:pPr>
        <w:pStyle w:val="Heading1"/>
        <w:pageBreakBefore/>
      </w:pPr>
      <w:r>
        <w:t>Your local EXACT charting reference</w:t>
      </w:r>
    </w:p>
    <w:p>
      <w:r>
        <w:rPr>
          <w:b w:val="0"/>
        </w:rPr>
        <w:t>The trainer completes this page using the practice’s actual software. Services, graphics and colours can be configured locally. A colour by itself does not reliably identify whether treatment is existing, planned or completed.</w:t>
      </w:r>
    </w:p>
    <w:p>
      <w:r>
        <w:rPr>
          <w:b w:val="0"/>
        </w:rPr>
        <w:t>Practice: __________________  EXACT version: __________________</w:t>
      </w:r>
    </w:p>
    <w:p>
      <w:r>
        <w:rPr>
          <w:b w:val="0"/>
        </w:rPr>
        <w:t>Trainer: __________________  Date demonstrated: _______________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80"/>
        <w:gridCol w:w="3600"/>
        <w:gridCol w:w="3600"/>
      </w:tblGrid>
      <w:tr>
        <w:trPr>
          <w:tblHeader/>
          <w:cantSplit/>
        </w:trPr>
        <w:tc>
          <w:tcPr>
            <w:tcW w:type="dxa" w:w="2880"/>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Finding or treatment</w:t>
            </w:r>
          </w:p>
        </w:tc>
        <w:tc>
          <w:tcPr>
            <w:tcW w:type="dxa" w:w="3600"/>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Local service and category</w:t>
            </w:r>
          </w:p>
        </w:tc>
        <w:tc>
          <w:tcPr>
            <w:tcW w:type="dxa" w:w="3600"/>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Graphic and entry notes</w:t>
            </w:r>
          </w:p>
        </w:tc>
      </w:tr>
      <w:tr>
        <w:trPr>
          <w:trHeight w:val="461" w:hRule="atLeast"/>
          <w:cantSplit/>
        </w:trPr>
        <w:tc>
          <w:tcPr>
            <w:tcW w:type="dxa" w:w="2880"/>
            <w:vAlign w:val="center"/>
            <w:tcMar>
              <w:top w:w="85" w:type="dxa"/>
              <w:left w:w="85" w:type="dxa"/>
              <w:bottom w:w="85" w:type="dxa"/>
              <w:right w:w="85" w:type="dxa"/>
            </w:tcMar>
            <w:shd w:fill="FFFFFF"/>
          </w:tcPr>
          <w:p>
            <w:pPr>
              <w:spacing w:after="40" w:before="20" w:line="252" w:lineRule="auto"/>
              <w:jc w:val="center"/>
            </w:pPr>
            <w:r>
              <w:rPr>
                <w:rFonts w:ascii="Arial" w:hAnsi="Arial"/>
                <w:sz w:val="20"/>
              </w:rPr>
              <w:t>Existing amalgam filling</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r>
      <w:tr>
        <w:trPr>
          <w:trHeight w:val="461" w:hRule="atLeast"/>
          <w:cantSplit/>
        </w:trPr>
        <w:tc>
          <w:tcPr>
            <w:tcW w:type="dxa" w:w="2880"/>
            <w:vAlign w:val="center"/>
            <w:tcMar>
              <w:top w:w="85" w:type="dxa"/>
              <w:left w:w="85" w:type="dxa"/>
              <w:bottom w:w="85" w:type="dxa"/>
              <w:right w:w="85" w:type="dxa"/>
            </w:tcMar>
            <w:shd w:fill="F4F4F4"/>
          </w:tcPr>
          <w:p>
            <w:pPr>
              <w:spacing w:after="40" w:before="20" w:line="252" w:lineRule="auto"/>
              <w:jc w:val="center"/>
            </w:pPr>
            <w:r>
              <w:rPr>
                <w:rFonts w:ascii="Arial" w:hAnsi="Arial"/>
                <w:sz w:val="20"/>
              </w:rPr>
              <w:t>Existing composite filling</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r>
          </w:p>
        </w:tc>
      </w:tr>
      <w:tr>
        <w:trPr>
          <w:trHeight w:val="461" w:hRule="atLeast"/>
          <w:cantSplit/>
        </w:trPr>
        <w:tc>
          <w:tcPr>
            <w:tcW w:type="dxa" w:w="2880"/>
            <w:vAlign w:val="center"/>
            <w:tcMar>
              <w:top w:w="85" w:type="dxa"/>
              <w:left w:w="85" w:type="dxa"/>
              <w:bottom w:w="85" w:type="dxa"/>
              <w:right w:w="85" w:type="dxa"/>
            </w:tcMar>
            <w:shd w:fill="FFFFFF"/>
          </w:tcPr>
          <w:p>
            <w:pPr>
              <w:spacing w:after="40" w:before="20" w:line="252" w:lineRule="auto"/>
              <w:jc w:val="center"/>
            </w:pPr>
            <w:r>
              <w:rPr>
                <w:rFonts w:ascii="Arial" w:hAnsi="Arial"/>
                <w:sz w:val="20"/>
              </w:rPr>
              <w:t>Existing GIC filling</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r>
      <w:tr>
        <w:trPr>
          <w:trHeight w:val="461" w:hRule="atLeast"/>
          <w:cantSplit/>
        </w:trPr>
        <w:tc>
          <w:tcPr>
            <w:tcW w:type="dxa" w:w="2880"/>
            <w:vAlign w:val="center"/>
            <w:tcMar>
              <w:top w:w="85" w:type="dxa"/>
              <w:left w:w="85" w:type="dxa"/>
              <w:bottom w:w="85" w:type="dxa"/>
              <w:right w:w="85" w:type="dxa"/>
            </w:tcMar>
            <w:shd w:fill="F4F4F4"/>
          </w:tcPr>
          <w:p>
            <w:pPr>
              <w:spacing w:after="40" w:before="20" w:line="252" w:lineRule="auto"/>
              <w:jc w:val="center"/>
            </w:pPr>
            <w:r>
              <w:rPr>
                <w:rFonts w:ascii="Arial" w:hAnsi="Arial"/>
                <w:sz w:val="20"/>
              </w:rPr>
              <w:t>Decay or caries finding</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r>
          </w:p>
        </w:tc>
      </w:tr>
      <w:tr>
        <w:trPr>
          <w:trHeight w:val="461" w:hRule="atLeast"/>
          <w:cantSplit/>
        </w:trPr>
        <w:tc>
          <w:tcPr>
            <w:tcW w:type="dxa" w:w="2880"/>
            <w:vAlign w:val="center"/>
            <w:tcMar>
              <w:top w:w="85" w:type="dxa"/>
              <w:left w:w="85" w:type="dxa"/>
              <w:bottom w:w="85" w:type="dxa"/>
              <w:right w:w="85" w:type="dxa"/>
            </w:tcMar>
            <w:shd w:fill="FFFFFF"/>
          </w:tcPr>
          <w:p>
            <w:pPr>
              <w:spacing w:after="40" w:before="20" w:line="252" w:lineRule="auto"/>
              <w:jc w:val="center"/>
            </w:pPr>
            <w:r>
              <w:rPr>
                <w:rFonts w:ascii="Arial" w:hAnsi="Arial"/>
                <w:sz w:val="20"/>
              </w:rPr>
              <w:t>Existing crown</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r>
      <w:tr>
        <w:trPr>
          <w:trHeight w:val="461" w:hRule="atLeast"/>
          <w:cantSplit/>
        </w:trPr>
        <w:tc>
          <w:tcPr>
            <w:tcW w:type="dxa" w:w="2880"/>
            <w:vAlign w:val="center"/>
            <w:tcMar>
              <w:top w:w="85" w:type="dxa"/>
              <w:left w:w="85" w:type="dxa"/>
              <w:bottom w:w="85" w:type="dxa"/>
              <w:right w:w="85" w:type="dxa"/>
            </w:tcMar>
            <w:shd w:fill="F4F4F4"/>
          </w:tcPr>
          <w:p>
            <w:pPr>
              <w:spacing w:after="40" w:before="20" w:line="252" w:lineRule="auto"/>
              <w:jc w:val="center"/>
            </w:pPr>
            <w:r>
              <w:rPr>
                <w:rFonts w:ascii="Arial" w:hAnsi="Arial"/>
                <w:sz w:val="20"/>
              </w:rPr>
              <w:t>Planned crown</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r>
          </w:p>
        </w:tc>
      </w:tr>
      <w:tr>
        <w:trPr>
          <w:trHeight w:val="461" w:hRule="atLeast"/>
          <w:cantSplit/>
        </w:trPr>
        <w:tc>
          <w:tcPr>
            <w:tcW w:type="dxa" w:w="2880"/>
            <w:vAlign w:val="center"/>
            <w:tcMar>
              <w:top w:w="85" w:type="dxa"/>
              <w:left w:w="85" w:type="dxa"/>
              <w:bottom w:w="85" w:type="dxa"/>
              <w:right w:w="85" w:type="dxa"/>
            </w:tcMar>
            <w:shd w:fill="FFFFFF"/>
          </w:tcPr>
          <w:p>
            <w:pPr>
              <w:spacing w:after="40" w:before="20" w:line="252" w:lineRule="auto"/>
              <w:jc w:val="center"/>
            </w:pPr>
            <w:r>
              <w:rPr>
                <w:rFonts w:ascii="Arial" w:hAnsi="Arial"/>
                <w:sz w:val="20"/>
              </w:rPr>
              <w:t>Planned extraction</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r>
      <w:tr>
        <w:trPr>
          <w:trHeight w:val="461" w:hRule="atLeast"/>
          <w:cantSplit/>
        </w:trPr>
        <w:tc>
          <w:tcPr>
            <w:tcW w:type="dxa" w:w="2880"/>
            <w:vAlign w:val="center"/>
            <w:tcMar>
              <w:top w:w="85" w:type="dxa"/>
              <w:left w:w="85" w:type="dxa"/>
              <w:bottom w:w="85" w:type="dxa"/>
              <w:right w:w="85" w:type="dxa"/>
            </w:tcMar>
            <w:shd w:fill="F4F4F4"/>
          </w:tcPr>
          <w:p>
            <w:pPr>
              <w:spacing w:after="40" w:before="20" w:line="252" w:lineRule="auto"/>
              <w:jc w:val="center"/>
            </w:pPr>
            <w:r>
              <w:rPr>
                <w:rFonts w:ascii="Arial" w:hAnsi="Arial"/>
                <w:sz w:val="20"/>
              </w:rPr>
              <w:t>Existing missing tooth</w:t>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r>
          </w:p>
        </w:tc>
        <w:tc>
          <w:tcPr>
            <w:tcW w:type="dxa" w:w="3600"/>
            <w:vAlign w:val="center"/>
            <w:tcMar>
              <w:top w:w="85" w:type="dxa"/>
              <w:left w:w="85" w:type="dxa"/>
              <w:bottom w:w="85" w:type="dxa"/>
              <w:right w:w="85" w:type="dxa"/>
            </w:tcMar>
            <w:shd w:fill="F4F4F4"/>
          </w:tcPr>
          <w:p>
            <w:pPr>
              <w:spacing w:after="40" w:before="20" w:line="252" w:lineRule="auto"/>
            </w:pPr>
            <w:r>
              <w:rPr>
                <w:rFonts w:ascii="Arial" w:hAnsi="Arial"/>
                <w:sz w:val="20"/>
              </w:rPr>
            </w:r>
          </w:p>
        </w:tc>
      </w:tr>
      <w:tr>
        <w:trPr>
          <w:trHeight w:val="461" w:hRule="atLeast"/>
          <w:cantSplit/>
        </w:trPr>
        <w:tc>
          <w:tcPr>
            <w:tcW w:type="dxa" w:w="2880"/>
            <w:vAlign w:val="center"/>
            <w:tcMar>
              <w:top w:w="85" w:type="dxa"/>
              <w:left w:w="85" w:type="dxa"/>
              <w:bottom w:w="85" w:type="dxa"/>
              <w:right w:w="85" w:type="dxa"/>
            </w:tcMar>
            <w:shd w:fill="FFFFFF"/>
          </w:tcPr>
          <w:p>
            <w:pPr>
              <w:spacing w:after="40" w:before="20" w:line="252" w:lineRule="auto"/>
              <w:jc w:val="center"/>
            </w:pPr>
            <w:r>
              <w:rPr>
                <w:rFonts w:ascii="Arial" w:hAnsi="Arial"/>
                <w:sz w:val="20"/>
              </w:rPr>
              <w:t>Retained root</w:t>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c>
          <w:tcPr>
            <w:tcW w:type="dxa" w:w="3600"/>
            <w:vAlign w:val="center"/>
            <w:tcMar>
              <w:top w:w="85" w:type="dxa"/>
              <w:left w:w="85" w:type="dxa"/>
              <w:bottom w:w="85" w:type="dxa"/>
              <w:right w:w="85" w:type="dxa"/>
            </w:tcMar>
            <w:shd w:fill="FFFFFF"/>
          </w:tcPr>
          <w:p>
            <w:pPr>
              <w:spacing w:after="40" w:before="20" w:line="252" w:lineRule="auto"/>
            </w:pPr>
            <w:r>
              <w:rPr>
                <w:rFonts w:ascii="Arial" w:hAnsi="Arial"/>
                <w:sz w:val="20"/>
              </w:rPr>
            </w:r>
          </w:p>
        </w:tc>
      </w:tr>
    </w:tbl>
    <w:p>
      <w:pPr>
        <w:spacing w:after="0"/>
      </w:pPr>
      <w:r>
        <w:rPr>
          <w:b w:val="0"/>
        </w:rPr>
      </w:r>
    </w:p>
    <w:p>
      <w:r>
        <w:rPr>
          <w:b w:val="0"/>
        </w:rPr>
        <w:t>SOE’s NHS decay article gives ·CARIES as a Base example for DMF recording. The trainer must confirm the local equivalent and configuration before use. Do not create or edit service definitions as a beginner exercise.</w:t>
      </w:r>
    </w:p>
    <w:p>
      <w:pPr>
        <w:pStyle w:val="Heading2"/>
      </w:pPr>
      <w:r>
        <w:t>Trainer demonstrations to include</w:t>
      </w:r>
    </w:p>
    <w:p>
      <w:pPr>
        <w:pStyle w:val="ListBullet"/>
      </w:pPr>
      <w:r>
        <w:rPr>
          <w:b w:val="0"/>
        </w:rPr>
        <w:t>Show the permanent, primary and mixed views, tooth labels, and Base / Current display filters. A hidden item is not necessarily absent.</w:t>
      </w:r>
    </w:p>
    <w:p>
      <w:pPr>
        <w:pStyle w:val="ListBullet"/>
      </w:pPr>
      <w:r>
        <w:rPr>
          <w:b w:val="0"/>
        </w:rPr>
        <w:t>Show how to check a tooth’s existing and current information, how entry is confirmed locally, and how to request a correction.</w:t>
      </w:r>
    </w:p>
    <w:p>
      <w:pPr>
        <w:pStyle w:val="ListBullet"/>
      </w:pPr>
      <w:r>
        <w:rPr>
          <w:b w:val="0"/>
        </w:rPr>
        <w:t>Dictate the five common entries using fictitious cases. Require tooth, surface, finding and status to be read back.</w:t>
      </w:r>
    </w:p>
    <w:p>
      <w:pPr>
        <w:spacing w:after="140"/>
      </w:pPr>
      <w:r>
        <w:t xml:space="preserve">Read: </w:t>
      </w:r>
      <w:hyperlink r:id="rId20">
        <w:r>
          <w:rPr>
            <w:color w:val="205781"/>
            <w:sz w:val="20"/>
          </w:rPr>
          <w:t>SOE Graphical 2D Tooth Charting</w:t>
        </w:r>
      </w:hyperlink>
    </w:p>
    <w:p>
      <w:pPr>
        <w:spacing w:after="140"/>
      </w:pPr>
      <w:r>
        <w:t xml:space="preserve">Read: </w:t>
      </w:r>
      <w:hyperlink r:id="rId21">
        <w:r>
          <w:rPr>
            <w:color w:val="205781"/>
            <w:sz w:val="20"/>
          </w:rPr>
          <w:t>SOE NHS charting decay for DMF</w:t>
        </w:r>
      </w:hyperlink>
    </w:p>
    <w:p>
      <w:pPr>
        <w:spacing w:after="140"/>
      </w:pPr>
      <w:r>
        <w:t xml:space="preserve">Read: </w:t>
      </w:r>
      <w:hyperlink r:id="rId22">
        <w:r>
          <w:rPr>
            <w:color w:val="205781"/>
            <w:sz w:val="20"/>
          </w:rPr>
          <w:t>SOE clinical eLearning videos</w:t>
        </w:r>
      </w:hyperlink>
    </w:p>
    <w:p>
      <w:pPr>
        <w:pStyle w:val="Heading1"/>
        <w:pageBreakBefore/>
      </w:pPr>
      <w:r>
        <w:t>Understanding BPE</w:t>
      </w:r>
    </w:p>
    <w:p>
      <w:r>
        <w:rPr>
          <w:b w:val="0"/>
        </w:rPr>
        <w:t>BPE means Basic Periodontal Examination. It is a screening record: the clinician assigns a code to each of six mouth regions called sextants. It helps identify the need for further assessment. A BPE code is not a measurement in millimetres and is not a diagnosis.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55"/>
        <w:gridCol w:w="3370"/>
        <w:gridCol w:w="3355"/>
      </w:tblGrid>
      <w:tr>
        <w:trPr>
          <w:tblHeader/>
          <w:cantSplit/>
        </w:trPr>
        <w:tc>
          <w:tcPr>
            <w:tcW w:type="dxa" w:w="3355"/>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Upper right posterior</w:t>
            </w:r>
          </w:p>
        </w:tc>
        <w:tc>
          <w:tcPr>
            <w:tcW w:type="dxa" w:w="3370"/>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Upper anterior</w:t>
            </w:r>
          </w:p>
        </w:tc>
        <w:tc>
          <w:tcPr>
            <w:tcW w:type="dxa" w:w="3355"/>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Upper left posterior</w:t>
            </w:r>
          </w:p>
        </w:tc>
      </w:tr>
      <w:tr>
        <w:trPr>
          <w:cantSplit/>
        </w:trPr>
        <w:tc>
          <w:tcPr>
            <w:tcW w:type="dxa" w:w="3355"/>
            <w:vAlign w:val="center"/>
            <w:tcMar>
              <w:top w:w="85" w:type="dxa"/>
              <w:left w:w="85" w:type="dxa"/>
              <w:bottom w:w="85" w:type="dxa"/>
              <w:right w:w="85" w:type="dxa"/>
            </w:tcMar>
            <w:shd w:fill="FFFFFF"/>
          </w:tcPr>
          <w:p>
            <w:pPr>
              <w:spacing w:after="40" w:before="20" w:line="252" w:lineRule="auto"/>
              <w:jc w:val="center"/>
            </w:pPr>
            <w:r>
              <w:rPr>
                <w:rFonts w:ascii="Arial" w:hAnsi="Arial"/>
                <w:sz w:val="20"/>
              </w:rPr>
              <w:t>Patient’s upper right back region</w:t>
            </w:r>
          </w:p>
        </w:tc>
        <w:tc>
          <w:tcPr>
            <w:tcW w:type="dxa" w:w="3370"/>
            <w:vAlign w:val="center"/>
            <w:tcMar>
              <w:top w:w="85" w:type="dxa"/>
              <w:left w:w="85" w:type="dxa"/>
              <w:bottom w:w="85" w:type="dxa"/>
              <w:right w:w="85" w:type="dxa"/>
            </w:tcMar>
            <w:shd w:fill="FFFFFF"/>
          </w:tcPr>
          <w:p>
            <w:pPr>
              <w:spacing w:after="40" w:before="20" w:line="252" w:lineRule="auto"/>
            </w:pPr>
            <w:r>
              <w:rPr>
                <w:rFonts w:ascii="Arial" w:hAnsi="Arial"/>
                <w:sz w:val="20"/>
              </w:rPr>
              <w:t>Upper front region</w:t>
            </w:r>
          </w:p>
        </w:tc>
        <w:tc>
          <w:tcPr>
            <w:tcW w:type="dxa" w:w="3355"/>
            <w:vAlign w:val="center"/>
            <w:tcMar>
              <w:top w:w="85" w:type="dxa"/>
              <w:left w:w="85" w:type="dxa"/>
              <w:bottom w:w="85" w:type="dxa"/>
              <w:right w:w="85" w:type="dxa"/>
            </w:tcMar>
            <w:shd w:fill="FFFFFF"/>
          </w:tcPr>
          <w:p>
            <w:pPr>
              <w:spacing w:after="40" w:before="20" w:line="252" w:lineRule="auto"/>
            </w:pPr>
            <w:r>
              <w:rPr>
                <w:rFonts w:ascii="Arial" w:hAnsi="Arial"/>
                <w:sz w:val="20"/>
              </w:rPr>
              <w:t>Patient’s upper left back region</w:t>
            </w:r>
          </w:p>
        </w:tc>
      </w:tr>
      <w:tr>
        <w:trPr>
          <w:cantSplit/>
        </w:trPr>
        <w:tc>
          <w:tcPr>
            <w:tcW w:type="dxa" w:w="3355"/>
            <w:vAlign w:val="center"/>
            <w:tcMar>
              <w:top w:w="85" w:type="dxa"/>
              <w:left w:w="85" w:type="dxa"/>
              <w:bottom w:w="85" w:type="dxa"/>
              <w:right w:w="85" w:type="dxa"/>
            </w:tcMar>
            <w:shd w:fill="F4F4F4"/>
          </w:tcPr>
          <w:p>
            <w:pPr>
              <w:spacing w:after="40" w:before="20" w:line="252" w:lineRule="auto"/>
              <w:jc w:val="center"/>
            </w:pPr>
            <w:r>
              <w:rPr>
                <w:rFonts w:ascii="Arial" w:hAnsi="Arial"/>
                <w:sz w:val="20"/>
              </w:rPr>
              <w:t>Lower right posterior</w:t>
            </w:r>
          </w:p>
        </w:tc>
        <w:tc>
          <w:tcPr>
            <w:tcW w:type="dxa" w:w="3370"/>
            <w:vAlign w:val="center"/>
            <w:tcMar>
              <w:top w:w="85" w:type="dxa"/>
              <w:left w:w="85" w:type="dxa"/>
              <w:bottom w:w="85" w:type="dxa"/>
              <w:right w:w="85" w:type="dxa"/>
            </w:tcMar>
            <w:shd w:fill="F4F4F4"/>
          </w:tcPr>
          <w:p>
            <w:pPr>
              <w:spacing w:after="40" w:before="20" w:line="252" w:lineRule="auto"/>
            </w:pPr>
            <w:r>
              <w:rPr>
                <w:rFonts w:ascii="Arial" w:hAnsi="Arial"/>
                <w:sz w:val="20"/>
              </w:rPr>
              <w:t>Lower anterior</w:t>
            </w:r>
          </w:p>
        </w:tc>
        <w:tc>
          <w:tcPr>
            <w:tcW w:type="dxa" w:w="3355"/>
            <w:vAlign w:val="center"/>
            <w:tcMar>
              <w:top w:w="85" w:type="dxa"/>
              <w:left w:w="85" w:type="dxa"/>
              <w:bottom w:w="85" w:type="dxa"/>
              <w:right w:w="85" w:type="dxa"/>
            </w:tcMar>
            <w:shd w:fill="F4F4F4"/>
          </w:tcPr>
          <w:p>
            <w:pPr>
              <w:spacing w:after="40" w:before="20" w:line="252" w:lineRule="auto"/>
            </w:pPr>
            <w:r>
              <w:rPr>
                <w:rFonts w:ascii="Arial" w:hAnsi="Arial"/>
                <w:sz w:val="20"/>
              </w:rPr>
              <w:t>Lower left posterior</w:t>
            </w:r>
          </w:p>
        </w:tc>
      </w:tr>
      <w:tr>
        <w:trPr>
          <w:cantSplit/>
        </w:trPr>
        <w:tc>
          <w:tcPr>
            <w:tcW w:type="dxa" w:w="3355"/>
            <w:vAlign w:val="center"/>
            <w:tcMar>
              <w:top w:w="85" w:type="dxa"/>
              <w:left w:w="85" w:type="dxa"/>
              <w:bottom w:w="85" w:type="dxa"/>
              <w:right w:w="85" w:type="dxa"/>
            </w:tcMar>
            <w:shd w:fill="FFFFFF"/>
          </w:tcPr>
          <w:p>
            <w:pPr>
              <w:spacing w:after="40" w:before="20" w:line="252" w:lineRule="auto"/>
              <w:jc w:val="center"/>
            </w:pPr>
            <w:r>
              <w:rPr>
                <w:rFonts w:ascii="Arial" w:hAnsi="Arial"/>
                <w:sz w:val="20"/>
              </w:rPr>
              <w:t>Patient’s lower right back region</w:t>
            </w:r>
          </w:p>
        </w:tc>
        <w:tc>
          <w:tcPr>
            <w:tcW w:type="dxa" w:w="3370"/>
            <w:vAlign w:val="center"/>
            <w:tcMar>
              <w:top w:w="85" w:type="dxa"/>
              <w:left w:w="85" w:type="dxa"/>
              <w:bottom w:w="85" w:type="dxa"/>
              <w:right w:w="85" w:type="dxa"/>
            </w:tcMar>
            <w:shd w:fill="FFFFFF"/>
          </w:tcPr>
          <w:p>
            <w:pPr>
              <w:spacing w:after="40" w:before="20" w:line="252" w:lineRule="auto"/>
            </w:pPr>
            <w:r>
              <w:rPr>
                <w:rFonts w:ascii="Arial" w:hAnsi="Arial"/>
                <w:sz w:val="20"/>
              </w:rPr>
              <w:t>Lower front region</w:t>
            </w:r>
          </w:p>
        </w:tc>
        <w:tc>
          <w:tcPr>
            <w:tcW w:type="dxa" w:w="3355"/>
            <w:vAlign w:val="center"/>
            <w:tcMar>
              <w:top w:w="85" w:type="dxa"/>
              <w:left w:w="85" w:type="dxa"/>
              <w:bottom w:w="85" w:type="dxa"/>
              <w:right w:w="85" w:type="dxa"/>
            </w:tcMar>
            <w:shd w:fill="FFFFFF"/>
          </w:tcPr>
          <w:p>
            <w:pPr>
              <w:spacing w:after="40" w:before="20" w:line="252" w:lineRule="auto"/>
            </w:pPr>
            <w:r>
              <w:rPr>
                <w:rFonts w:ascii="Arial" w:hAnsi="Arial"/>
                <w:sz w:val="20"/>
              </w:rPr>
              <w:t>Patient’s lower left back region</w:t>
            </w:r>
          </w:p>
        </w:tc>
      </w:tr>
    </w:tbl>
    <w:p>
      <w:pPr>
        <w:spacing w:after="0"/>
      </w:pPr>
      <w:r>
        <w:rPr>
          <w:b w:val="0"/>
        </w:rPr>
      </w:r>
    </w:p>
    <w:p>
      <w:pPr>
        <w:spacing w:before="100"/>
      </w:pPr>
      <w:r>
        <w:rPr>
          <w:b w:val="0"/>
          <w:color w:val="444444"/>
          <w:sz w:val="19"/>
        </w:rPr>
        <w:t>This teaching layout is arranged as if facing the patient. Read the sextant labels on the actual EXACT screen before entering values.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36"/>
        <w:gridCol w:w="9144"/>
      </w:tblGrid>
      <w:tr>
        <w:trPr>
          <w:tblHeader/>
          <w:cantSplit/>
        </w:trPr>
        <w:tc>
          <w:tcPr>
            <w:tcW w:type="dxa" w:w="936"/>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Code</w:t>
            </w:r>
          </w:p>
        </w:tc>
        <w:tc>
          <w:tcPr>
            <w:tcW w:type="dxa" w:w="9144"/>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Meaning of the clinician-assigned category</w:t>
            </w:r>
          </w:p>
        </w:tc>
      </w:tr>
      <w:tr>
        <w:trPr>
          <w:cantSplit/>
        </w:trPr>
        <w:tc>
          <w:tcPr>
            <w:tcW w:type="dxa" w:w="936"/>
            <w:vAlign w:val="center"/>
            <w:tcMar>
              <w:top w:w="85" w:type="dxa"/>
              <w:left w:w="85" w:type="dxa"/>
              <w:bottom w:w="85" w:type="dxa"/>
              <w:right w:w="85" w:type="dxa"/>
            </w:tcMar>
            <w:shd w:fill="FFFFFF"/>
          </w:tcPr>
          <w:p>
            <w:pPr>
              <w:spacing w:after="40" w:before="20" w:line="252" w:lineRule="auto"/>
            </w:pPr>
            <w:r>
              <w:rPr>
                <w:rFonts w:ascii="Arial" w:hAnsi="Arial"/>
                <w:sz w:val="20"/>
              </w:rPr>
              <w:t>0</w:t>
            </w:r>
          </w:p>
        </w:tc>
        <w:tc>
          <w:tcPr>
            <w:tcW w:type="dxa" w:w="9144"/>
            <w:vAlign w:val="center"/>
            <w:tcMar>
              <w:top w:w="85" w:type="dxa"/>
              <w:left w:w="85" w:type="dxa"/>
              <w:bottom w:w="85" w:type="dxa"/>
              <w:right w:w="85" w:type="dxa"/>
            </w:tcMar>
            <w:shd w:fill="FFFFFF"/>
          </w:tcPr>
          <w:p>
            <w:pPr>
              <w:spacing w:after="40" w:before="20" w:line="252" w:lineRule="auto"/>
            </w:pPr>
            <w:r>
              <w:rPr>
                <w:rFonts w:ascii="Arial" w:hAnsi="Arial"/>
                <w:sz w:val="20"/>
              </w:rPr>
              <w:t>No bleeding, calculus or plaque-retaining factors; probing depths below 3.5 mm.</w:t>
            </w:r>
          </w:p>
        </w:tc>
      </w:tr>
      <w:tr>
        <w:trPr>
          <w:cantSplit/>
        </w:trPr>
        <w:tc>
          <w:tcPr>
            <w:tcW w:type="dxa" w:w="936"/>
            <w:vAlign w:val="center"/>
            <w:tcMar>
              <w:top w:w="85" w:type="dxa"/>
              <w:left w:w="85" w:type="dxa"/>
              <w:bottom w:w="85" w:type="dxa"/>
              <w:right w:w="85" w:type="dxa"/>
            </w:tcMar>
            <w:shd w:fill="F4F4F4"/>
          </w:tcPr>
          <w:p>
            <w:pPr>
              <w:spacing w:after="40" w:before="20" w:line="252" w:lineRule="auto"/>
            </w:pPr>
            <w:r>
              <w:rPr>
                <w:rFonts w:ascii="Arial" w:hAnsi="Arial"/>
                <w:sz w:val="20"/>
              </w:rPr>
              <w:t>1</w:t>
            </w:r>
          </w:p>
        </w:tc>
        <w:tc>
          <w:tcPr>
            <w:tcW w:type="dxa" w:w="9144"/>
            <w:vAlign w:val="center"/>
            <w:tcMar>
              <w:top w:w="85" w:type="dxa"/>
              <w:left w:w="85" w:type="dxa"/>
              <w:bottom w:w="85" w:type="dxa"/>
              <w:right w:w="85" w:type="dxa"/>
            </w:tcMar>
            <w:shd w:fill="F4F4F4"/>
          </w:tcPr>
          <w:p>
            <w:pPr>
              <w:spacing w:after="40" w:before="20" w:line="252" w:lineRule="auto"/>
            </w:pPr>
            <w:r>
              <w:rPr>
                <w:rFonts w:ascii="Arial" w:hAnsi="Arial"/>
                <w:sz w:val="20"/>
              </w:rPr>
              <w:t>Bleeding on probing, without calculus or plaque-retaining factors; depths below 3.5 mm.</w:t>
            </w:r>
          </w:p>
        </w:tc>
      </w:tr>
      <w:tr>
        <w:trPr>
          <w:cantSplit/>
        </w:trPr>
        <w:tc>
          <w:tcPr>
            <w:tcW w:type="dxa" w:w="936"/>
            <w:vAlign w:val="center"/>
            <w:tcMar>
              <w:top w:w="85" w:type="dxa"/>
              <w:left w:w="85" w:type="dxa"/>
              <w:bottom w:w="85" w:type="dxa"/>
              <w:right w:w="85" w:type="dxa"/>
            </w:tcMar>
            <w:shd w:fill="FFFFFF"/>
          </w:tcPr>
          <w:p>
            <w:pPr>
              <w:spacing w:after="40" w:before="20" w:line="252" w:lineRule="auto"/>
            </w:pPr>
            <w:r>
              <w:rPr>
                <w:rFonts w:ascii="Arial" w:hAnsi="Arial"/>
                <w:sz w:val="20"/>
              </w:rPr>
              <w:t>2</w:t>
            </w:r>
          </w:p>
        </w:tc>
        <w:tc>
          <w:tcPr>
            <w:tcW w:type="dxa" w:w="9144"/>
            <w:vAlign w:val="center"/>
            <w:tcMar>
              <w:top w:w="85" w:type="dxa"/>
              <w:left w:w="85" w:type="dxa"/>
              <w:bottom w:w="85" w:type="dxa"/>
              <w:right w:w="85" w:type="dxa"/>
            </w:tcMar>
            <w:shd w:fill="FFFFFF"/>
          </w:tcPr>
          <w:p>
            <w:pPr>
              <w:spacing w:after="40" w:before="20" w:line="252" w:lineRule="auto"/>
            </w:pPr>
            <w:r>
              <w:rPr>
                <w:rFonts w:ascii="Arial" w:hAnsi="Arial"/>
                <w:sz w:val="20"/>
              </w:rPr>
              <w:t>Calculus or plaque-retaining factors such as an overhang; depths below 3.5 mm.</w:t>
            </w:r>
          </w:p>
        </w:tc>
      </w:tr>
      <w:tr>
        <w:trPr>
          <w:cantSplit/>
        </w:trPr>
        <w:tc>
          <w:tcPr>
            <w:tcW w:type="dxa" w:w="936"/>
            <w:vAlign w:val="center"/>
            <w:tcMar>
              <w:top w:w="85" w:type="dxa"/>
              <w:left w:w="85" w:type="dxa"/>
              <w:bottom w:w="85" w:type="dxa"/>
              <w:right w:w="85" w:type="dxa"/>
            </w:tcMar>
            <w:shd w:fill="F4F4F4"/>
          </w:tcPr>
          <w:p>
            <w:pPr>
              <w:spacing w:after="40" w:before="20" w:line="252" w:lineRule="auto"/>
            </w:pPr>
            <w:r>
              <w:rPr>
                <w:rFonts w:ascii="Arial" w:hAnsi="Arial"/>
                <w:sz w:val="20"/>
              </w:rPr>
              <w:t>3</w:t>
            </w:r>
          </w:p>
        </w:tc>
        <w:tc>
          <w:tcPr>
            <w:tcW w:type="dxa" w:w="9144"/>
            <w:vAlign w:val="center"/>
            <w:tcMar>
              <w:top w:w="85" w:type="dxa"/>
              <w:left w:w="85" w:type="dxa"/>
              <w:bottom w:w="85" w:type="dxa"/>
              <w:right w:w="85" w:type="dxa"/>
            </w:tcMar>
            <w:shd w:fill="F4F4F4"/>
          </w:tcPr>
          <w:p>
            <w:pPr>
              <w:spacing w:after="40" w:before="20" w:line="252" w:lineRule="auto"/>
            </w:pPr>
            <w:r>
              <w:rPr>
                <w:rFonts w:ascii="Arial" w:hAnsi="Arial"/>
                <w:sz w:val="20"/>
              </w:rPr>
              <w:t>The probe’s black band is partly visible: depth in the 3.5 to 5.5 mm range.</w:t>
            </w:r>
          </w:p>
        </w:tc>
      </w:tr>
      <w:tr>
        <w:trPr>
          <w:cantSplit/>
        </w:trPr>
        <w:tc>
          <w:tcPr>
            <w:tcW w:type="dxa" w:w="936"/>
            <w:vAlign w:val="center"/>
            <w:tcMar>
              <w:top w:w="85" w:type="dxa"/>
              <w:left w:w="85" w:type="dxa"/>
              <w:bottom w:w="85" w:type="dxa"/>
              <w:right w:w="85" w:type="dxa"/>
            </w:tcMar>
            <w:shd w:fill="FFFFFF"/>
          </w:tcPr>
          <w:p>
            <w:pPr>
              <w:spacing w:after="40" w:before="20" w:line="252" w:lineRule="auto"/>
            </w:pPr>
            <w:r>
              <w:rPr>
                <w:rFonts w:ascii="Arial" w:hAnsi="Arial"/>
                <w:sz w:val="20"/>
              </w:rPr>
              <w:t>4</w:t>
            </w:r>
          </w:p>
        </w:tc>
        <w:tc>
          <w:tcPr>
            <w:tcW w:type="dxa" w:w="9144"/>
            <w:vAlign w:val="center"/>
            <w:tcMar>
              <w:top w:w="85" w:type="dxa"/>
              <w:left w:w="85" w:type="dxa"/>
              <w:bottom w:w="85" w:type="dxa"/>
              <w:right w:w="85" w:type="dxa"/>
            </w:tcMar>
            <w:shd w:fill="FFFFFF"/>
          </w:tcPr>
          <w:p>
            <w:pPr>
              <w:spacing w:after="40" w:before="20" w:line="252" w:lineRule="auto"/>
            </w:pPr>
            <w:r>
              <w:rPr>
                <w:rFonts w:ascii="Arial" w:hAnsi="Arial"/>
                <w:sz w:val="20"/>
              </w:rPr>
              <w:t>The black band is no longer visible: depth greater than 5.5 mm.</w:t>
            </w:r>
          </w:p>
        </w:tc>
      </w:tr>
      <w:tr>
        <w:trPr>
          <w:cantSplit/>
        </w:trPr>
        <w:tc>
          <w:tcPr>
            <w:tcW w:type="dxa" w:w="936"/>
            <w:vAlign w:val="center"/>
            <w:tcMar>
              <w:top w:w="85" w:type="dxa"/>
              <w:left w:w="85" w:type="dxa"/>
              <w:bottom w:w="85" w:type="dxa"/>
              <w:right w:w="85" w:type="dxa"/>
            </w:tcMar>
            <w:shd w:fill="F4F4F4"/>
          </w:tcPr>
          <w:p>
            <w:pPr>
              <w:spacing w:after="40" w:before="20" w:line="252" w:lineRule="auto"/>
            </w:pPr>
            <w:r>
              <w:rPr>
                <w:rFonts w:ascii="Arial" w:hAnsi="Arial"/>
                <w:sz w:val="20"/>
              </w:rPr>
              <w:t>*</w:t>
            </w:r>
          </w:p>
        </w:tc>
        <w:tc>
          <w:tcPr>
            <w:tcW w:type="dxa" w:w="9144"/>
            <w:vAlign w:val="center"/>
            <w:tcMar>
              <w:top w:w="85" w:type="dxa"/>
              <w:left w:w="85" w:type="dxa"/>
              <w:bottom w:w="85" w:type="dxa"/>
              <w:right w:w="85" w:type="dxa"/>
            </w:tcMar>
            <w:shd w:fill="F4F4F4"/>
          </w:tcPr>
          <w:p>
            <w:pPr>
              <w:spacing w:after="40" w:before="20" w:line="252" w:lineRule="auto"/>
            </w:pPr>
            <w:r>
              <w:rPr>
                <w:rFonts w:ascii="Arial" w:hAnsi="Arial"/>
                <w:sz w:val="20"/>
              </w:rPr>
              <w:t>An additional furcation marker, as dictated by the clinician.</w:t>
            </w:r>
          </w:p>
        </w:tc>
      </w:tr>
    </w:tbl>
    <w:p>
      <w:pPr>
        <w:spacing w:after="0"/>
      </w:pPr>
      <w:r>
        <w:rPr>
          <w:b w:val="0"/>
        </w:rPr>
      </w:r>
    </w:p>
    <w:p>
      <w:r>
        <w:rPr>
          <w:b w:val="0"/>
        </w:rPr>
        <w:t>The clinician determines the highest applicable code for each sextant. The recorder enters that code; do not average tooth readings. If a sextant cannot be scored, ask for the correct local notation rather than entering 0.</w:t>
      </w:r>
    </w:p>
    <w:p>
      <w:r>
        <w:rPr>
          <w:b/>
        </w:rPr>
        <w:t xml:space="preserve">Remember </w:t>
      </w:r>
      <w:r>
        <w:t>BPE 3 does not mean a 3 mm pocket. Six-point charting is a different record.</w:t>
      </w:r>
    </w:p>
    <w:p>
      <w:pPr>
        <w:spacing w:after="140"/>
      </w:pPr>
      <w:r>
        <w:t xml:space="preserve">Read: </w:t>
      </w:r>
      <w:hyperlink r:id="rId23">
        <w:r>
          <w:rPr>
            <w:color w:val="205781"/>
            <w:sz w:val="20"/>
          </w:rPr>
          <w:t>BSP BPE Guidelines</w:t>
        </w:r>
      </w:hyperlink>
    </w:p>
    <w:p>
      <w:pPr>
        <w:pStyle w:val="Heading1"/>
        <w:pageBreakBefore/>
      </w:pPr>
      <w:r>
        <w:t>Adding a BPE in EXACT</w:t>
      </w:r>
    </w:p>
    <w:p>
      <w:r>
        <w:rPr>
          <w:b w:val="0"/>
        </w:rPr>
        <w:t>Practise recording an examination dictated by the dentist, hygienist or therapist. This lesson does not authorise the trainee to carry out periodontal probing or decide the scores.</w:t>
      </w:r>
    </w:p>
    <w:p>
      <w:r>
        <w:rPr>
          <w:b/>
        </w:rPr>
        <w:t xml:space="preserve">1 </w:t>
      </w:r>
      <w:r>
        <w:t>Confirm the patient, date and that the clinician wants a BPE recorded.</w:t>
      </w:r>
    </w:p>
    <w:p>
      <w:r>
        <w:rPr>
          <w:b/>
        </w:rPr>
        <w:t xml:space="preserve">2 </w:t>
      </w:r>
      <w:r>
        <w:t>Select the BPE icon on the patient toolbar to open the scoring window. BPE records can also be accessed through the Perio tab.</w:t>
      </w:r>
    </w:p>
    <w:p>
      <w:r>
        <w:rPr>
          <w:b/>
        </w:rPr>
        <w:t xml:space="preserve">3 </w:t>
      </w:r>
      <w:r>
        <w:t>Check the displayed sextant positions. If a BPE already exists for today, the window may be editing that entry. Ask before replacing any values.</w:t>
      </w:r>
    </w:p>
    <w:p>
      <w:r>
        <w:rPr>
          <w:b/>
        </w:rPr>
        <w:t xml:space="preserve">4 </w:t>
      </w:r>
      <w:r>
        <w:t>Enter each clinician-dictated code in the correct sextant and any dictated furcation marker. If you miss a score, ask for it again.</w:t>
      </w:r>
    </w:p>
    <w:p>
      <w:r>
        <w:rPr>
          <w:b/>
        </w:rPr>
        <w:t xml:space="preserve">5 </w:t>
      </w:r>
      <w:r>
        <w:t>Read all six regions and their scores back to the clinician. Enter diagnosis, stage, grade or stability only when specifically dictated.</w:t>
      </w:r>
    </w:p>
    <w:p>
      <w:r>
        <w:rPr>
          <w:b/>
        </w:rPr>
        <w:t xml:space="preserve">6 </w:t>
      </w:r>
      <w:r>
        <w:t>Select OK to save and close. Check the saved BPE and date in the patient record or Perio history.</w:t>
      </w:r>
    </w:p>
    <w:p>
      <w:pPr>
        <w:pStyle w:val="Heading2"/>
      </w:pPr>
      <w:r>
        <w:t>A fictitious recording exercise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00"/>
        <w:gridCol w:w="2880"/>
      </w:tblGrid>
      <w:tr>
        <w:trPr>
          <w:tblHeader/>
          <w:cantSplit/>
        </w:trPr>
        <w:tc>
          <w:tcPr>
            <w:tcW w:type="dxa" w:w="7200"/>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Sextant</w:t>
            </w:r>
          </w:p>
        </w:tc>
        <w:tc>
          <w:tcPr>
            <w:tcW w:type="dxa" w:w="2880"/>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Dictated value</w:t>
            </w:r>
          </w:p>
        </w:tc>
      </w:tr>
      <w:tr>
        <w:trPr>
          <w:cantSplit/>
        </w:trPr>
        <w:tc>
          <w:tcPr>
            <w:tcW w:type="dxa" w:w="7200"/>
            <w:vAlign w:val="center"/>
            <w:tcMar>
              <w:top w:w="85" w:type="dxa"/>
              <w:left w:w="85" w:type="dxa"/>
              <w:bottom w:w="85" w:type="dxa"/>
              <w:right w:w="85" w:type="dxa"/>
            </w:tcMar>
            <w:shd w:fill="FFFFFF"/>
          </w:tcPr>
          <w:p>
            <w:pPr>
              <w:spacing w:after="40" w:before="20" w:line="252" w:lineRule="auto"/>
            </w:pPr>
            <w:r>
              <w:rPr>
                <w:rFonts w:ascii="Arial" w:hAnsi="Arial"/>
                <w:sz w:val="21"/>
              </w:rPr>
              <w:t>Upper right posterior</w:t>
            </w:r>
          </w:p>
        </w:tc>
        <w:tc>
          <w:tcPr>
            <w:tcW w:type="dxa" w:w="2880"/>
            <w:vAlign w:val="center"/>
            <w:tcMar>
              <w:top w:w="85" w:type="dxa"/>
              <w:left w:w="85" w:type="dxa"/>
              <w:bottom w:w="85" w:type="dxa"/>
              <w:right w:w="85" w:type="dxa"/>
            </w:tcMar>
            <w:shd w:fill="FFFFFF"/>
          </w:tcPr>
          <w:p>
            <w:pPr>
              <w:spacing w:after="40" w:before="20" w:line="252" w:lineRule="auto"/>
            </w:pPr>
            <w:r>
              <w:rPr>
                <w:rFonts w:ascii="Arial" w:hAnsi="Arial"/>
                <w:sz w:val="21"/>
              </w:rPr>
              <w:t>2</w:t>
            </w:r>
          </w:p>
        </w:tc>
      </w:tr>
      <w:tr>
        <w:trPr>
          <w:cantSplit/>
        </w:trPr>
        <w:tc>
          <w:tcPr>
            <w:tcW w:type="dxa" w:w="7200"/>
            <w:vAlign w:val="center"/>
            <w:tcMar>
              <w:top w:w="85" w:type="dxa"/>
              <w:left w:w="85" w:type="dxa"/>
              <w:bottom w:w="85" w:type="dxa"/>
              <w:right w:w="85" w:type="dxa"/>
            </w:tcMar>
            <w:shd w:fill="F4F4F4"/>
          </w:tcPr>
          <w:p>
            <w:pPr>
              <w:spacing w:after="40" w:before="20" w:line="252" w:lineRule="auto"/>
            </w:pPr>
            <w:r>
              <w:rPr>
                <w:rFonts w:ascii="Arial" w:hAnsi="Arial"/>
                <w:sz w:val="21"/>
              </w:rPr>
              <w:t>Upper anterior</w:t>
            </w:r>
          </w:p>
        </w:tc>
        <w:tc>
          <w:tcPr>
            <w:tcW w:type="dxa" w:w="2880"/>
            <w:vAlign w:val="center"/>
            <w:tcMar>
              <w:top w:w="85" w:type="dxa"/>
              <w:left w:w="85" w:type="dxa"/>
              <w:bottom w:w="85" w:type="dxa"/>
              <w:right w:w="85" w:type="dxa"/>
            </w:tcMar>
            <w:shd w:fill="F4F4F4"/>
          </w:tcPr>
          <w:p>
            <w:pPr>
              <w:spacing w:after="40" w:before="20" w:line="252" w:lineRule="auto"/>
            </w:pPr>
            <w:r>
              <w:rPr>
                <w:rFonts w:ascii="Arial" w:hAnsi="Arial"/>
                <w:sz w:val="21"/>
              </w:rPr>
              <w:t>1</w:t>
            </w:r>
          </w:p>
        </w:tc>
      </w:tr>
      <w:tr>
        <w:trPr>
          <w:cantSplit/>
        </w:trPr>
        <w:tc>
          <w:tcPr>
            <w:tcW w:type="dxa" w:w="7200"/>
            <w:vAlign w:val="center"/>
            <w:tcMar>
              <w:top w:w="85" w:type="dxa"/>
              <w:left w:w="85" w:type="dxa"/>
              <w:bottom w:w="85" w:type="dxa"/>
              <w:right w:w="85" w:type="dxa"/>
            </w:tcMar>
            <w:shd w:fill="FFFFFF"/>
          </w:tcPr>
          <w:p>
            <w:pPr>
              <w:spacing w:after="40" w:before="20" w:line="252" w:lineRule="auto"/>
            </w:pPr>
            <w:r>
              <w:rPr>
                <w:rFonts w:ascii="Arial" w:hAnsi="Arial"/>
                <w:sz w:val="21"/>
              </w:rPr>
              <w:t>Upper left posterior</w:t>
            </w:r>
          </w:p>
        </w:tc>
        <w:tc>
          <w:tcPr>
            <w:tcW w:type="dxa" w:w="2880"/>
            <w:vAlign w:val="center"/>
            <w:tcMar>
              <w:top w:w="85" w:type="dxa"/>
              <w:left w:w="85" w:type="dxa"/>
              <w:bottom w:w="85" w:type="dxa"/>
              <w:right w:w="85" w:type="dxa"/>
            </w:tcMar>
            <w:shd w:fill="FFFFFF"/>
          </w:tcPr>
          <w:p>
            <w:pPr>
              <w:spacing w:after="40" w:before="20" w:line="252" w:lineRule="auto"/>
            </w:pPr>
            <w:r>
              <w:rPr>
                <w:rFonts w:ascii="Arial" w:hAnsi="Arial"/>
                <w:sz w:val="21"/>
              </w:rPr>
              <w:t>3</w:t>
            </w:r>
          </w:p>
        </w:tc>
      </w:tr>
      <w:tr>
        <w:trPr>
          <w:cantSplit/>
        </w:trPr>
        <w:tc>
          <w:tcPr>
            <w:tcW w:type="dxa" w:w="7200"/>
            <w:vAlign w:val="center"/>
            <w:tcMar>
              <w:top w:w="85" w:type="dxa"/>
              <w:left w:w="85" w:type="dxa"/>
              <w:bottom w:w="85" w:type="dxa"/>
              <w:right w:w="85" w:type="dxa"/>
            </w:tcMar>
            <w:shd w:fill="F4F4F4"/>
          </w:tcPr>
          <w:p>
            <w:pPr>
              <w:spacing w:after="40" w:before="20" w:line="252" w:lineRule="auto"/>
            </w:pPr>
            <w:r>
              <w:rPr>
                <w:rFonts w:ascii="Arial" w:hAnsi="Arial"/>
                <w:sz w:val="21"/>
              </w:rPr>
              <w:t>Lower right posterior</w:t>
            </w:r>
          </w:p>
        </w:tc>
        <w:tc>
          <w:tcPr>
            <w:tcW w:type="dxa" w:w="2880"/>
            <w:vAlign w:val="center"/>
            <w:tcMar>
              <w:top w:w="85" w:type="dxa"/>
              <w:left w:w="85" w:type="dxa"/>
              <w:bottom w:w="85" w:type="dxa"/>
              <w:right w:w="85" w:type="dxa"/>
            </w:tcMar>
            <w:shd w:fill="F4F4F4"/>
          </w:tcPr>
          <w:p>
            <w:pPr>
              <w:spacing w:after="40" w:before="20" w:line="252" w:lineRule="auto"/>
            </w:pPr>
            <w:r>
              <w:rPr>
                <w:rFonts w:ascii="Arial" w:hAnsi="Arial"/>
                <w:sz w:val="21"/>
              </w:rPr>
              <w:t>2</w:t>
            </w:r>
          </w:p>
        </w:tc>
      </w:tr>
      <w:tr>
        <w:trPr>
          <w:cantSplit/>
        </w:trPr>
        <w:tc>
          <w:tcPr>
            <w:tcW w:type="dxa" w:w="7200"/>
            <w:vAlign w:val="center"/>
            <w:tcMar>
              <w:top w:w="85" w:type="dxa"/>
              <w:left w:w="85" w:type="dxa"/>
              <w:bottom w:w="85" w:type="dxa"/>
              <w:right w:w="85" w:type="dxa"/>
            </w:tcMar>
            <w:shd w:fill="FFFFFF"/>
          </w:tcPr>
          <w:p>
            <w:pPr>
              <w:spacing w:after="40" w:before="20" w:line="252" w:lineRule="auto"/>
            </w:pPr>
            <w:r>
              <w:rPr>
                <w:rFonts w:ascii="Arial" w:hAnsi="Arial"/>
                <w:sz w:val="21"/>
              </w:rPr>
              <w:t>Lower anterior</w:t>
            </w:r>
          </w:p>
        </w:tc>
        <w:tc>
          <w:tcPr>
            <w:tcW w:type="dxa" w:w="2880"/>
            <w:vAlign w:val="center"/>
            <w:tcMar>
              <w:top w:w="85" w:type="dxa"/>
              <w:left w:w="85" w:type="dxa"/>
              <w:bottom w:w="85" w:type="dxa"/>
              <w:right w:w="85" w:type="dxa"/>
            </w:tcMar>
            <w:shd w:fill="FFFFFF"/>
          </w:tcPr>
          <w:p>
            <w:pPr>
              <w:spacing w:after="40" w:before="20" w:line="252" w:lineRule="auto"/>
            </w:pPr>
            <w:r>
              <w:rPr>
                <w:rFonts w:ascii="Arial" w:hAnsi="Arial"/>
                <w:sz w:val="21"/>
              </w:rPr>
              <w:t>2</w:t>
            </w:r>
          </w:p>
        </w:tc>
      </w:tr>
      <w:tr>
        <w:trPr>
          <w:cantSplit/>
        </w:trPr>
        <w:tc>
          <w:tcPr>
            <w:tcW w:type="dxa" w:w="7200"/>
            <w:vAlign w:val="center"/>
            <w:tcMar>
              <w:top w:w="85" w:type="dxa"/>
              <w:left w:w="85" w:type="dxa"/>
              <w:bottom w:w="85" w:type="dxa"/>
              <w:right w:w="85" w:type="dxa"/>
            </w:tcMar>
            <w:shd w:fill="F4F4F4"/>
          </w:tcPr>
          <w:p>
            <w:pPr>
              <w:spacing w:after="40" w:before="20" w:line="252" w:lineRule="auto"/>
            </w:pPr>
            <w:r>
              <w:rPr>
                <w:rFonts w:ascii="Arial" w:hAnsi="Arial"/>
                <w:sz w:val="21"/>
              </w:rPr>
              <w:t>Lower left posterior</w:t>
            </w:r>
          </w:p>
        </w:tc>
        <w:tc>
          <w:tcPr>
            <w:tcW w:type="dxa" w:w="2880"/>
            <w:vAlign w:val="center"/>
            <w:tcMar>
              <w:top w:w="85" w:type="dxa"/>
              <w:left w:w="85" w:type="dxa"/>
              <w:bottom w:w="85" w:type="dxa"/>
              <w:right w:w="85" w:type="dxa"/>
            </w:tcMar>
            <w:shd w:fill="F4F4F4"/>
          </w:tcPr>
          <w:p>
            <w:pPr>
              <w:spacing w:after="40" w:before="20" w:line="252" w:lineRule="auto"/>
            </w:pPr>
            <w:r>
              <w:rPr>
                <w:rFonts w:ascii="Arial" w:hAnsi="Arial"/>
                <w:sz w:val="21"/>
              </w:rPr>
              <w:t>4*</w:t>
            </w:r>
          </w:p>
        </w:tc>
      </w:tr>
    </w:tbl>
    <w:p>
      <w:pPr>
        <w:spacing w:after="0"/>
      </w:pPr>
      <w:r>
        <w:rPr>
          <w:b w:val="0"/>
        </w:rPr>
      </w:r>
    </w:p>
    <w:p>
      <w:r>
        <w:rPr>
          <w:b w:val="0"/>
        </w:rPr>
        <w:t>The learner points to each sextant before entering it. The trainer compares the saved record with the dictation. Repeat with a different order and include an unclear score so the learner practises asking for clarification.</w:t>
      </w:r>
    </w:p>
    <w:p>
      <w:pPr>
        <w:pStyle w:val="Heading2"/>
      </w:pPr>
      <w:r>
        <w:t>What the toolbar tells you</w:t>
      </w:r>
    </w:p>
    <w:p>
      <w:r>
        <w:rPr>
          <w:b w:val="0"/>
        </w:rPr>
        <w:t>The toolbar icon can show a highest-score summary. That does not replace checking the full six-sextant record. Do not assume every sextant has the value shown in the icon.</w:t>
      </w:r>
    </w:p>
    <w:p>
      <w:pPr>
        <w:spacing w:after="140"/>
      </w:pPr>
      <w:r>
        <w:t xml:space="preserve">Read: </w:t>
      </w:r>
      <w:hyperlink r:id="rId24">
        <w:r>
          <w:rPr>
            <w:color w:val="205781"/>
            <w:sz w:val="20"/>
          </w:rPr>
          <w:t>SOE Recording a BPE</w:t>
        </w:r>
      </w:hyperlink>
    </w:p>
    <w:p>
      <w:pPr>
        <w:pStyle w:val="Heading1"/>
        <w:pageBreakBefore/>
      </w:pPr>
      <w:r>
        <w:t>What a six point periodontal chart records</w:t>
      </w:r>
    </w:p>
    <w:p>
      <w:r>
        <w:rPr>
          <w:b w:val="0"/>
        </w:rPr>
        <w:t>A six-point pocket chart, often shortened to 6PPC, is a detailed record of measurements around each examined tooth. “Six point” means six sites per tooth, not six teeth or six numbers for the whole mouth. It records the clinician’s examination and helps the clinician monitor periodontal condition over time.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392"/>
        <w:gridCol w:w="5688"/>
      </w:tblGrid>
      <w:tr>
        <w:trPr>
          <w:tblHeader/>
          <w:cantSplit/>
        </w:trPr>
        <w:tc>
          <w:tcPr>
            <w:tcW w:type="dxa" w:w="4392"/>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Outer side</w:t>
            </w:r>
          </w:p>
        </w:tc>
        <w:tc>
          <w:tcPr>
            <w:tcW w:type="dxa" w:w="5688"/>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Inner side</w:t>
            </w:r>
          </w:p>
        </w:tc>
      </w:tr>
      <w:tr>
        <w:trPr>
          <w:cantSplit/>
        </w:trPr>
        <w:tc>
          <w:tcPr>
            <w:tcW w:type="dxa" w:w="4392"/>
            <w:vAlign w:val="center"/>
            <w:tcMar>
              <w:top w:w="85" w:type="dxa"/>
              <w:left w:w="85" w:type="dxa"/>
              <w:bottom w:w="85" w:type="dxa"/>
              <w:right w:w="85" w:type="dxa"/>
            </w:tcMar>
            <w:shd w:fill="FFFFFF"/>
          </w:tcPr>
          <w:p>
            <w:pPr>
              <w:spacing w:after="40" w:before="20" w:line="252" w:lineRule="auto"/>
            </w:pPr>
            <w:r>
              <w:rPr>
                <w:rFonts w:ascii="Arial" w:hAnsi="Arial"/>
                <w:sz w:val="21"/>
              </w:rPr>
              <w:t>Mesio-buccal or mesio-labial</w:t>
            </w:r>
          </w:p>
        </w:tc>
        <w:tc>
          <w:tcPr>
            <w:tcW w:type="dxa" w:w="5688"/>
            <w:vAlign w:val="center"/>
            <w:tcMar>
              <w:top w:w="85" w:type="dxa"/>
              <w:left w:w="85" w:type="dxa"/>
              <w:bottom w:w="85" w:type="dxa"/>
              <w:right w:w="85" w:type="dxa"/>
            </w:tcMar>
            <w:shd w:fill="FFFFFF"/>
          </w:tcPr>
          <w:p>
            <w:pPr>
              <w:spacing w:after="40" w:before="20" w:line="252" w:lineRule="auto"/>
            </w:pPr>
            <w:r>
              <w:rPr>
                <w:rFonts w:ascii="Arial" w:hAnsi="Arial"/>
                <w:sz w:val="21"/>
              </w:rPr>
              <w:t>Mesio-palatal for upper teeth or mesio-lingual for lower teeth</w:t>
            </w:r>
          </w:p>
        </w:tc>
      </w:tr>
      <w:tr>
        <w:trPr>
          <w:cantSplit/>
        </w:trPr>
        <w:tc>
          <w:tcPr>
            <w:tcW w:type="dxa" w:w="4392"/>
            <w:vAlign w:val="center"/>
            <w:tcMar>
              <w:top w:w="85" w:type="dxa"/>
              <w:left w:w="85" w:type="dxa"/>
              <w:bottom w:w="85" w:type="dxa"/>
              <w:right w:w="85" w:type="dxa"/>
            </w:tcMar>
            <w:shd w:fill="F4F4F4"/>
          </w:tcPr>
          <w:p>
            <w:pPr>
              <w:spacing w:after="40" w:before="20" w:line="252" w:lineRule="auto"/>
            </w:pPr>
            <w:r>
              <w:rPr>
                <w:rFonts w:ascii="Arial" w:hAnsi="Arial"/>
                <w:sz w:val="21"/>
              </w:rPr>
              <w:t>Mid-buccal or mid-labial</w:t>
            </w:r>
          </w:p>
        </w:tc>
        <w:tc>
          <w:tcPr>
            <w:tcW w:type="dxa" w:w="5688"/>
            <w:vAlign w:val="center"/>
            <w:tcMar>
              <w:top w:w="85" w:type="dxa"/>
              <w:left w:w="85" w:type="dxa"/>
              <w:bottom w:w="85" w:type="dxa"/>
              <w:right w:w="85" w:type="dxa"/>
            </w:tcMar>
            <w:shd w:fill="F4F4F4"/>
          </w:tcPr>
          <w:p>
            <w:pPr>
              <w:spacing w:after="40" w:before="20" w:line="252" w:lineRule="auto"/>
            </w:pPr>
            <w:r>
              <w:rPr>
                <w:rFonts w:ascii="Arial" w:hAnsi="Arial"/>
                <w:sz w:val="21"/>
              </w:rPr>
              <w:t>Mid-palatal for upper teeth or mid-lingual for lower teeth</w:t>
            </w:r>
          </w:p>
        </w:tc>
      </w:tr>
      <w:tr>
        <w:trPr>
          <w:cantSplit/>
        </w:trPr>
        <w:tc>
          <w:tcPr>
            <w:tcW w:type="dxa" w:w="4392"/>
            <w:vAlign w:val="center"/>
            <w:tcMar>
              <w:top w:w="85" w:type="dxa"/>
              <w:left w:w="85" w:type="dxa"/>
              <w:bottom w:w="85" w:type="dxa"/>
              <w:right w:w="85" w:type="dxa"/>
            </w:tcMar>
            <w:shd w:fill="FFFFFF"/>
          </w:tcPr>
          <w:p>
            <w:pPr>
              <w:spacing w:after="40" w:before="20" w:line="252" w:lineRule="auto"/>
            </w:pPr>
            <w:r>
              <w:rPr>
                <w:rFonts w:ascii="Arial" w:hAnsi="Arial"/>
                <w:sz w:val="21"/>
              </w:rPr>
              <w:t>Disto-buccal or disto-labial</w:t>
            </w:r>
          </w:p>
        </w:tc>
        <w:tc>
          <w:tcPr>
            <w:tcW w:type="dxa" w:w="5688"/>
            <w:vAlign w:val="center"/>
            <w:tcMar>
              <w:top w:w="85" w:type="dxa"/>
              <w:left w:w="85" w:type="dxa"/>
              <w:bottom w:w="85" w:type="dxa"/>
              <w:right w:w="85" w:type="dxa"/>
            </w:tcMar>
            <w:shd w:fill="FFFFFF"/>
          </w:tcPr>
          <w:p>
            <w:pPr>
              <w:spacing w:after="40" w:before="20" w:line="252" w:lineRule="auto"/>
            </w:pPr>
            <w:r>
              <w:rPr>
                <w:rFonts w:ascii="Arial" w:hAnsi="Arial"/>
                <w:sz w:val="21"/>
              </w:rPr>
              <w:t>Disto-palatal for upper teeth or disto-lingual for lower teeth</w:t>
            </w:r>
          </w:p>
        </w:tc>
      </w:tr>
    </w:tbl>
    <w:p>
      <w:pPr>
        <w:spacing w:after="0"/>
      </w:pPr>
      <w:r>
        <w:rPr>
          <w:b w:val="0"/>
        </w:rPr>
      </w:r>
    </w:p>
    <w:p>
      <w:r>
        <w:rPr>
          <w:b w:val="0"/>
        </w:rPr>
        <w:t>There are three sites on the outer aspect and three on the inner aspect. The recording order depends on the clinician and the configured software. Confirm tooth, side and field before recording a group of values.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7488"/>
      </w:tblGrid>
      <w:tr>
        <w:trPr>
          <w:tblHeader/>
          <w:cantSplit/>
        </w:trPr>
        <w:tc>
          <w:tcPr>
            <w:tcW w:type="dxa" w:w="2592"/>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Field</w:t>
            </w:r>
          </w:p>
        </w:tc>
        <w:tc>
          <w:tcPr>
            <w:tcW w:type="dxa" w:w="7488"/>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What it records</w:t>
            </w:r>
          </w:p>
        </w:tc>
      </w:tr>
      <w:tr>
        <w:trPr>
          <w:cantSplit/>
        </w:trPr>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20"/>
              </w:rPr>
              <w:t>Probing depth or PD</w:t>
            </w:r>
          </w:p>
        </w:tc>
        <w:tc>
          <w:tcPr>
            <w:tcW w:type="dxa" w:w="7488"/>
            <w:vAlign w:val="center"/>
            <w:tcMar>
              <w:top w:w="85" w:type="dxa"/>
              <w:left w:w="85" w:type="dxa"/>
              <w:bottom w:w="85" w:type="dxa"/>
              <w:right w:w="85" w:type="dxa"/>
            </w:tcMar>
            <w:shd w:fill="FFFFFF"/>
          </w:tcPr>
          <w:p>
            <w:pPr>
              <w:spacing w:after="40" w:before="20" w:line="252" w:lineRule="auto"/>
            </w:pPr>
            <w:r>
              <w:rPr>
                <w:rFonts w:ascii="Arial" w:hAnsi="Arial"/>
                <w:sz w:val="20"/>
              </w:rPr>
              <w:t>Distance in millimetres from the gum margin to the base reached by the periodontal probe.</w:t>
            </w:r>
          </w:p>
        </w:tc>
      </w:tr>
      <w:tr>
        <w:trPr>
          <w:cantSplit/>
        </w:trPr>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20"/>
              </w:rPr>
              <w:t>Recession or R</w:t>
            </w:r>
          </w:p>
        </w:tc>
        <w:tc>
          <w:tcPr>
            <w:tcW w:type="dxa" w:w="7488"/>
            <w:vAlign w:val="center"/>
            <w:tcMar>
              <w:top w:w="85" w:type="dxa"/>
              <w:left w:w="85" w:type="dxa"/>
              <w:bottom w:w="85" w:type="dxa"/>
              <w:right w:w="85" w:type="dxa"/>
            </w:tcMar>
            <w:shd w:fill="F4F4F4"/>
          </w:tcPr>
          <w:p>
            <w:pPr>
              <w:spacing w:after="40" w:before="20" w:line="252" w:lineRule="auto"/>
            </w:pPr>
            <w:r>
              <w:rPr>
                <w:rFonts w:ascii="Arial" w:hAnsi="Arial"/>
                <w:sz w:val="20"/>
              </w:rPr>
              <w:t>Position of the gum margin relative to the CEJ. Record the dictated value and the software’s sign convention.</w:t>
            </w:r>
          </w:p>
        </w:tc>
      </w:tr>
      <w:tr>
        <w:trPr>
          <w:cantSplit/>
        </w:trPr>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20"/>
              </w:rPr>
              <w:t>Bleeding on probing or BOP</w:t>
            </w:r>
          </w:p>
        </w:tc>
        <w:tc>
          <w:tcPr>
            <w:tcW w:type="dxa" w:w="7488"/>
            <w:vAlign w:val="center"/>
            <w:tcMar>
              <w:top w:w="85" w:type="dxa"/>
              <w:left w:w="85" w:type="dxa"/>
              <w:bottom w:w="85" w:type="dxa"/>
              <w:right w:w="85" w:type="dxa"/>
            </w:tcMar>
            <w:shd w:fill="FFFFFF"/>
          </w:tcPr>
          <w:p>
            <w:pPr>
              <w:spacing w:after="40" w:before="20" w:line="252" w:lineRule="auto"/>
            </w:pPr>
            <w:r>
              <w:rPr>
                <w:rFonts w:ascii="Arial" w:hAnsi="Arial"/>
                <w:sz w:val="20"/>
              </w:rPr>
              <w:t>The clinician’s bleeding finding at the relevant site.</w:t>
            </w:r>
          </w:p>
        </w:tc>
      </w:tr>
      <w:tr>
        <w:trPr>
          <w:cantSplit/>
        </w:trPr>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20"/>
              </w:rPr>
              <w:t>Plaque and suppuration</w:t>
            </w:r>
          </w:p>
        </w:tc>
        <w:tc>
          <w:tcPr>
            <w:tcW w:type="dxa" w:w="7488"/>
            <w:vAlign w:val="center"/>
            <w:tcMar>
              <w:top w:w="85" w:type="dxa"/>
              <w:left w:w="85" w:type="dxa"/>
              <w:bottom w:w="85" w:type="dxa"/>
              <w:right w:w="85" w:type="dxa"/>
            </w:tcMar>
            <w:shd w:fill="F4F4F4"/>
          </w:tcPr>
          <w:p>
            <w:pPr>
              <w:spacing w:after="40" w:before="20" w:line="252" w:lineRule="auto"/>
            </w:pPr>
            <w:r>
              <w:rPr>
                <w:rFonts w:ascii="Arial" w:hAnsi="Arial"/>
                <w:sz w:val="20"/>
              </w:rPr>
              <w:t>Plaque and pus findings, recorded separately when requested.</w:t>
            </w:r>
          </w:p>
        </w:tc>
      </w:tr>
      <w:tr>
        <w:trPr>
          <w:cantSplit/>
        </w:trPr>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20"/>
              </w:rPr>
              <w:t>Mobility</w:t>
            </w:r>
          </w:p>
        </w:tc>
        <w:tc>
          <w:tcPr>
            <w:tcW w:type="dxa" w:w="7488"/>
            <w:vAlign w:val="center"/>
            <w:tcMar>
              <w:top w:w="85" w:type="dxa"/>
              <w:left w:w="85" w:type="dxa"/>
              <w:bottom w:w="85" w:type="dxa"/>
              <w:right w:w="85" w:type="dxa"/>
            </w:tcMar>
            <w:shd w:fill="FFFFFF"/>
          </w:tcPr>
          <w:p>
            <w:pPr>
              <w:spacing w:after="40" w:before="20" w:line="252" w:lineRule="auto"/>
            </w:pPr>
            <w:r>
              <w:rPr>
                <w:rFonts w:ascii="Arial" w:hAnsi="Arial"/>
                <w:sz w:val="20"/>
              </w:rPr>
              <w:t>The clinician’s assessment of tooth movement.</w:t>
            </w:r>
          </w:p>
        </w:tc>
      </w:tr>
      <w:tr>
        <w:trPr>
          <w:cantSplit/>
        </w:trPr>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20"/>
              </w:rPr>
              <w:t>Furcation</w:t>
            </w:r>
          </w:p>
        </w:tc>
        <w:tc>
          <w:tcPr>
            <w:tcW w:type="dxa" w:w="7488"/>
            <w:vAlign w:val="center"/>
            <w:tcMar>
              <w:top w:w="85" w:type="dxa"/>
              <w:left w:w="85" w:type="dxa"/>
              <w:bottom w:w="85" w:type="dxa"/>
              <w:right w:w="85" w:type="dxa"/>
            </w:tcMar>
            <w:shd w:fill="F4F4F4"/>
          </w:tcPr>
          <w:p>
            <w:pPr>
              <w:spacing w:after="40" w:before="20" w:line="252" w:lineRule="auto"/>
            </w:pPr>
            <w:r>
              <w:rPr>
                <w:rFonts w:ascii="Arial" w:hAnsi="Arial"/>
                <w:sz w:val="20"/>
              </w:rPr>
              <w:t>The clinician’s finding in the area where roots divide in a multi-rooted tooth.</w:t>
            </w:r>
          </w:p>
        </w:tc>
      </w:tr>
    </w:tbl>
    <w:p>
      <w:pPr>
        <w:spacing w:after="0"/>
      </w:pPr>
      <w:r>
        <w:rPr>
          <w:b w:val="0"/>
        </w:rPr>
      </w:r>
    </w:p>
    <w:p>
      <w:r>
        <w:rPr>
          <w:b w:val="0"/>
        </w:rPr>
        <w:t>Pocket depth and recession are different measurements. Enter them in their own fields. The clinician interprets attachment levels, diagnosis and treatment needs. Unknown or unmeasured does not mean zero.</w:t>
      </w:r>
    </w:p>
    <w:p>
      <w:r>
        <w:rPr>
          <w:b w:val="0"/>
        </w:rPr>
        <w:t>A detailed chart is used when the clinician requests it, including monitoring established periodontitis. Do not replace it with a BPE or copy an old chart forward as a new examination.</w:t>
      </w:r>
    </w:p>
    <w:p>
      <w:pPr>
        <w:spacing w:after="140"/>
      </w:pPr>
      <w:r>
        <w:t xml:space="preserve">Read: </w:t>
      </w:r>
      <w:hyperlink r:id="rId25">
        <w:r>
          <w:rPr>
            <w:color w:val="205781"/>
            <w:sz w:val="20"/>
          </w:rPr>
          <w:t>BSP periodontal pocket chart</w:t>
        </w:r>
      </w:hyperlink>
    </w:p>
    <w:p>
      <w:pPr>
        <w:spacing w:after="140"/>
      </w:pPr>
      <w:r>
        <w:t xml:space="preserve">Read: </w:t>
      </w:r>
      <w:hyperlink r:id="rId26">
        <w:r>
          <w:rPr>
            <w:color w:val="205781"/>
            <w:sz w:val="20"/>
          </w:rPr>
          <w:t>BSP clinical FAQs on detailed periodontal records</w:t>
        </w:r>
      </w:hyperlink>
    </w:p>
    <w:p>
      <w:pPr>
        <w:pStyle w:val="Heading1"/>
        <w:pageBreakBefore/>
      </w:pPr>
      <w:r>
        <w:t>Adding a Perio chart in EXACT</w:t>
      </w:r>
    </w:p>
    <w:p>
      <w:r>
        <w:rPr>
          <w:b w:val="0"/>
        </w:rPr>
        <w:t>EXACT has single-screen and original Perio interfaces. The trainer identifies the one used locally before teaching keyboard entry. The same shortcut can behave differently in another interface.</w:t>
      </w:r>
    </w:p>
    <w:p>
      <w:pPr>
        <w:pStyle w:val="Heading2"/>
      </w:pPr>
      <w:r>
        <w:t>Single screen Perio</w:t>
      </w:r>
    </w:p>
    <w:p>
      <w:r>
        <w:rPr>
          <w:b/>
        </w:rPr>
        <w:t xml:space="preserve">1 </w:t>
      </w:r>
      <w:r>
        <w:t>Open the correct patient record, choose Perio and confirm whether a new examination is required.</w:t>
      </w:r>
    </w:p>
    <w:p>
      <w:r>
        <w:rPr>
          <w:b/>
        </w:rPr>
        <w:t xml:space="preserve">2 </w:t>
      </w:r>
      <w:r>
        <w:t>Select +1 to add a chart. Enter the agreed chart name and verify the examination date.</w:t>
      </w:r>
    </w:p>
    <w:p>
      <w:r>
        <w:rPr>
          <w:b/>
        </w:rPr>
        <w:t xml:space="preserve">3 </w:t>
      </w:r>
      <w:r>
        <w:t>Press Tab to reach the first section set in the local configuration. Confirm the first tooth, aspect and row with the clinician.</w:t>
      </w:r>
    </w:p>
    <w:p>
      <w:r>
        <w:rPr>
          <w:b/>
        </w:rPr>
        <w:t xml:space="preserve">4 </w:t>
      </w:r>
      <w:r>
        <w:t>Enter the dictated pocket readings and other requested fields. Watch the cursor. Stop immediately if the tooth, row or sequence is uncertain.</w:t>
      </w:r>
    </w:p>
    <w:p>
      <w:r>
        <w:rPr>
          <w:b/>
        </w:rPr>
        <w:t xml:space="preserve">5 </w:t>
      </w:r>
      <w:r>
        <w:t>Read back and check the completed data with the clinician. Select OK to save.</w:t>
      </w:r>
    </w:p>
    <w:p>
      <w:r>
        <w:rPr>
          <w:b/>
        </w:rPr>
        <w:t xml:space="preserve">6 </w:t>
      </w:r>
      <w:r>
        <w:t>Select the saved chart in the Perio list and confirm its name, date and recorded values.</w:t>
      </w:r>
    </w:p>
    <w:p>
      <w:pPr>
        <w:pStyle w:val="Heading2"/>
      </w:pPr>
      <w:r>
        <w:t>Original Perio</w:t>
      </w:r>
    </w:p>
    <w:p>
      <w:r>
        <w:rPr>
          <w:b w:val="0"/>
        </w:rPr>
        <w:t>Use Perio, then +1 or Add. Enter a title, use the displayed upper, lower and relevant plaque or bleeding sections, enter the dictated values and select OK. The trainer demonstrates the original interface’s entry and correction controls.</w:t>
      </w:r>
    </w:p>
    <w:p>
      <w:pPr>
        <w:pStyle w:val="Heading2"/>
      </w:pPr>
      <w:r>
        <w:t>Local settings that must be shown</w:t>
      </w:r>
    </w:p>
    <w:p>
      <w:pPr>
        <w:pStyle w:val="ListBullet"/>
      </w:pPr>
      <w:r>
        <w:rPr>
          <w:b w:val="0"/>
        </w:rPr>
        <w:t>Single-screen quadrant order, direction, inclusion of wisdom teeth and recession sequence can vary by login. Do not assume the next cursor position.</w:t>
      </w:r>
    </w:p>
    <w:p>
      <w:pPr>
        <w:pStyle w:val="ListBullet"/>
      </w:pPr>
      <w:r>
        <w:rPr>
          <w:b w:val="0"/>
        </w:rPr>
        <w:t>Single-screen number keys usually enter a value and move on. Typing 10 as two ordinary digits can put values into two sites. Practise the documented method for double-digit and negative values on a demonstration case.</w:t>
      </w:r>
    </w:p>
    <w:p>
      <w:pPr>
        <w:pStyle w:val="ListBullet"/>
      </w:pPr>
      <w:r>
        <w:rPr>
          <w:b w:val="0"/>
        </w:rPr>
        <w:t>The original interface documents +0 for a 10 mm pocket and B for bleeding. These are not universal shortcuts. Use only the controls demonstrated for the installed interface.</w:t>
      </w:r>
    </w:p>
    <w:p>
      <w:pPr>
        <w:pStyle w:val="ListBullet"/>
      </w:pPr>
      <w:r>
        <w:rPr>
          <w:b w:val="0"/>
        </w:rPr>
        <w:t>Ask before amending a historical chart. Editing availability depends on interface and permissions. Never delete an old chart to make a training exercise work.</w:t>
      </w:r>
    </w:p>
    <w:p>
      <w:pPr>
        <w:spacing w:after="140"/>
      </w:pPr>
      <w:r>
        <w:t xml:space="preserve">Read: </w:t>
      </w:r>
      <w:hyperlink r:id="rId27">
        <w:r>
          <w:rPr>
            <w:color w:val="205781"/>
            <w:sz w:val="20"/>
          </w:rPr>
          <w:t>SOE Single Screen Perio Charting</w:t>
        </w:r>
      </w:hyperlink>
    </w:p>
    <w:p>
      <w:pPr>
        <w:spacing w:after="140"/>
      </w:pPr>
      <w:r>
        <w:t xml:space="preserve">Read: </w:t>
      </w:r>
      <w:hyperlink r:id="rId28">
        <w:r>
          <w:rPr>
            <w:color w:val="205781"/>
            <w:sz w:val="20"/>
          </w:rPr>
          <w:t>SOE single-screen data entry and keyboard controls</w:t>
        </w:r>
      </w:hyperlink>
    </w:p>
    <w:p>
      <w:pPr>
        <w:spacing w:after="140"/>
      </w:pPr>
      <w:r>
        <w:t xml:space="preserve">Read: </w:t>
      </w:r>
      <w:hyperlink r:id="rId29">
        <w:r>
          <w:rPr>
            <w:color w:val="205781"/>
            <w:sz w:val="20"/>
          </w:rPr>
          <w:t>SOE Original Perio Charting</w:t>
        </w:r>
      </w:hyperlink>
    </w:p>
    <w:p>
      <w:pPr>
        <w:pStyle w:val="Heading1"/>
        <w:pageBreakBefore/>
      </w:pPr>
      <w:r>
        <w:t>Practising accurate periodontal recording</w:t>
      </w:r>
    </w:p>
    <w:p>
      <w:pPr>
        <w:pStyle w:val="Heading2"/>
      </w:pPr>
      <w:r>
        <w:t>Agree the order before starting</w:t>
      </w:r>
    </w:p>
    <w:p>
      <w:r>
        <w:rPr>
          <w:b w:val="0"/>
        </w:rPr>
        <w:t>Local Perio interface: ___________________________________________</w:t>
      </w:r>
    </w:p>
    <w:p>
      <w:r>
        <w:rPr>
          <w:b w:val="0"/>
        </w:rPr>
        <w:t>First tooth and direction: ________________________________________</w:t>
      </w:r>
    </w:p>
    <w:p>
      <w:r>
        <w:rPr>
          <w:b w:val="0"/>
        </w:rPr>
        <w:t>Outer and inner aspect order: ____________________________________</w:t>
      </w:r>
    </w:p>
    <w:p>
      <w:r>
        <w:rPr>
          <w:b w:val="0"/>
        </w:rPr>
        <w:t>Pocket and recession entry sequence: ______________________________</w:t>
      </w:r>
    </w:p>
    <w:p>
      <w:r>
        <w:rPr>
          <w:b w:val="0"/>
        </w:rPr>
        <w:t>Bleeding and other field controls: _________________________________</w:t>
      </w:r>
    </w:p>
    <w:p>
      <w:r>
        <w:rPr>
          <w:b w:val="0"/>
        </w:rPr>
        <w:t>Missing or unrecorded site method: _________________________________</w:t>
      </w:r>
    </w:p>
    <w:p>
      <w:r>
        <w:rPr>
          <w:b w:val="0"/>
        </w:rPr>
        <w:t>Correction and double-digit method demonstrated by: ________________</w:t>
      </w:r>
    </w:p>
    <w:p>
      <w:pPr>
        <w:pStyle w:val="Heading2"/>
      </w:pPr>
      <w:r>
        <w:t>Fictitious six site example</w:t>
      </w:r>
    </w:p>
    <w:p>
      <w:r>
        <w:rPr>
          <w:b w:val="0"/>
        </w:rPr>
        <w:t>For this paper exercise only, the clinician dictates UR6 in the explicitly stated order below. These values demonstrate recording, not diagnosis or a universal EXACT cursor order.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600"/>
        <w:gridCol w:w="1800"/>
        <w:gridCol w:w="2376"/>
        <w:gridCol w:w="2304"/>
      </w:tblGrid>
      <w:tr>
        <w:trPr>
          <w:tblHeader/>
          <w:cantSplit/>
        </w:trPr>
        <w:tc>
          <w:tcPr>
            <w:tcW w:type="dxa" w:w="3600"/>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1"/>
              </w:rPr>
              <w:t>UR6 site</w:t>
            </w:r>
          </w:p>
        </w:tc>
        <w:tc>
          <w:tcPr>
            <w:tcW w:type="dxa" w:w="1800"/>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PD in mm</w:t>
            </w:r>
          </w:p>
        </w:tc>
        <w:tc>
          <w:tcPr>
            <w:tcW w:type="dxa" w:w="2376"/>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Recession in mm</w:t>
            </w:r>
          </w:p>
        </w:tc>
        <w:tc>
          <w:tcPr>
            <w:tcW w:type="dxa" w:w="2304"/>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Bleeding</w:t>
            </w:r>
          </w:p>
        </w:tc>
      </w:tr>
      <w:tr>
        <w:trPr>
          <w:cantSplit/>
        </w:trPr>
        <w:tc>
          <w:tcPr>
            <w:tcW w:type="dxa" w:w="3600"/>
            <w:vAlign w:val="center"/>
            <w:tcMar>
              <w:top w:w="85" w:type="dxa"/>
              <w:left w:w="85" w:type="dxa"/>
              <w:bottom w:w="85" w:type="dxa"/>
              <w:right w:w="85" w:type="dxa"/>
            </w:tcMar>
            <w:shd w:fill="FFFFFF"/>
          </w:tcPr>
          <w:p>
            <w:pPr>
              <w:spacing w:after="40" w:before="20" w:line="252" w:lineRule="auto"/>
              <w:jc w:val="center"/>
            </w:pPr>
            <w:r>
              <w:rPr>
                <w:rFonts w:ascii="Arial" w:hAnsi="Arial"/>
                <w:sz w:val="21"/>
              </w:rPr>
              <w:t>Mesio-buccal</w:t>
            </w:r>
          </w:p>
        </w:tc>
        <w:tc>
          <w:tcPr>
            <w:tcW w:type="dxa" w:w="1800"/>
            <w:vAlign w:val="center"/>
            <w:tcMar>
              <w:top w:w="85" w:type="dxa"/>
              <w:left w:w="85" w:type="dxa"/>
              <w:bottom w:w="85" w:type="dxa"/>
              <w:right w:w="85" w:type="dxa"/>
            </w:tcMar>
            <w:shd w:fill="FFFFFF"/>
          </w:tcPr>
          <w:p>
            <w:pPr>
              <w:spacing w:after="40" w:before="20" w:line="252" w:lineRule="auto"/>
            </w:pPr>
            <w:r>
              <w:rPr>
                <w:rFonts w:ascii="Arial" w:hAnsi="Arial"/>
                <w:sz w:val="21"/>
              </w:rPr>
              <w:t>4</w:t>
            </w:r>
          </w:p>
        </w:tc>
        <w:tc>
          <w:tcPr>
            <w:tcW w:type="dxa" w:w="2376"/>
            <w:vAlign w:val="center"/>
            <w:tcMar>
              <w:top w:w="85" w:type="dxa"/>
              <w:left w:w="85" w:type="dxa"/>
              <w:bottom w:w="85" w:type="dxa"/>
              <w:right w:w="85" w:type="dxa"/>
            </w:tcMar>
            <w:shd w:fill="FFFFFF"/>
          </w:tcPr>
          <w:p>
            <w:pPr>
              <w:spacing w:after="40" w:before="20" w:line="252" w:lineRule="auto"/>
            </w:pPr>
            <w:r>
              <w:rPr>
                <w:rFonts w:ascii="Arial" w:hAnsi="Arial"/>
                <w:sz w:val="21"/>
              </w:rPr>
              <w:t>1</w:t>
            </w:r>
          </w:p>
        </w:tc>
        <w:tc>
          <w:tcPr>
            <w:tcW w:type="dxa" w:w="2304"/>
            <w:vAlign w:val="center"/>
            <w:tcMar>
              <w:top w:w="85" w:type="dxa"/>
              <w:left w:w="85" w:type="dxa"/>
              <w:bottom w:w="85" w:type="dxa"/>
              <w:right w:w="85" w:type="dxa"/>
            </w:tcMar>
            <w:shd w:fill="FFFFFF"/>
          </w:tcPr>
          <w:p>
            <w:pPr>
              <w:spacing w:after="40" w:before="20" w:line="252" w:lineRule="auto"/>
            </w:pPr>
            <w:r>
              <w:rPr>
                <w:rFonts w:ascii="Arial" w:hAnsi="Arial"/>
                <w:sz w:val="21"/>
              </w:rPr>
              <w:t>Yes</w:t>
            </w:r>
          </w:p>
        </w:tc>
      </w:tr>
      <w:tr>
        <w:trPr>
          <w:cantSplit/>
        </w:trPr>
        <w:tc>
          <w:tcPr>
            <w:tcW w:type="dxa" w:w="3600"/>
            <w:vAlign w:val="center"/>
            <w:tcMar>
              <w:top w:w="85" w:type="dxa"/>
              <w:left w:w="85" w:type="dxa"/>
              <w:bottom w:w="85" w:type="dxa"/>
              <w:right w:w="85" w:type="dxa"/>
            </w:tcMar>
            <w:shd w:fill="F4F4F4"/>
          </w:tcPr>
          <w:p>
            <w:pPr>
              <w:spacing w:after="40" w:before="20" w:line="252" w:lineRule="auto"/>
              <w:jc w:val="center"/>
            </w:pPr>
            <w:r>
              <w:rPr>
                <w:rFonts w:ascii="Arial" w:hAnsi="Arial"/>
                <w:sz w:val="21"/>
              </w:rPr>
              <w:t>Mid-buccal</w:t>
            </w:r>
          </w:p>
        </w:tc>
        <w:tc>
          <w:tcPr>
            <w:tcW w:type="dxa" w:w="1800"/>
            <w:vAlign w:val="center"/>
            <w:tcMar>
              <w:top w:w="85" w:type="dxa"/>
              <w:left w:w="85" w:type="dxa"/>
              <w:bottom w:w="85" w:type="dxa"/>
              <w:right w:w="85" w:type="dxa"/>
            </w:tcMar>
            <w:shd w:fill="F4F4F4"/>
          </w:tcPr>
          <w:p>
            <w:pPr>
              <w:spacing w:after="40" w:before="20" w:line="252" w:lineRule="auto"/>
            </w:pPr>
            <w:r>
              <w:rPr>
                <w:rFonts w:ascii="Arial" w:hAnsi="Arial"/>
                <w:sz w:val="21"/>
              </w:rPr>
              <w:t>3</w:t>
            </w:r>
          </w:p>
        </w:tc>
        <w:tc>
          <w:tcPr>
            <w:tcW w:type="dxa" w:w="2376"/>
            <w:vAlign w:val="center"/>
            <w:tcMar>
              <w:top w:w="85" w:type="dxa"/>
              <w:left w:w="85" w:type="dxa"/>
              <w:bottom w:w="85" w:type="dxa"/>
              <w:right w:w="85" w:type="dxa"/>
            </w:tcMar>
            <w:shd w:fill="F4F4F4"/>
          </w:tcPr>
          <w:p>
            <w:pPr>
              <w:spacing w:after="40" w:before="20" w:line="252" w:lineRule="auto"/>
            </w:pPr>
            <w:r>
              <w:rPr>
                <w:rFonts w:ascii="Arial" w:hAnsi="Arial"/>
                <w:sz w:val="21"/>
              </w:rPr>
              <w:t>1</w:t>
            </w:r>
          </w:p>
        </w:tc>
        <w:tc>
          <w:tcPr>
            <w:tcW w:type="dxa" w:w="2304"/>
            <w:vAlign w:val="center"/>
            <w:tcMar>
              <w:top w:w="85" w:type="dxa"/>
              <w:left w:w="85" w:type="dxa"/>
              <w:bottom w:w="85" w:type="dxa"/>
              <w:right w:w="85" w:type="dxa"/>
            </w:tcMar>
            <w:shd w:fill="F4F4F4"/>
          </w:tcPr>
          <w:p>
            <w:pPr>
              <w:spacing w:after="40" w:before="20" w:line="252" w:lineRule="auto"/>
            </w:pPr>
            <w:r>
              <w:rPr>
                <w:rFonts w:ascii="Arial" w:hAnsi="Arial"/>
                <w:sz w:val="21"/>
              </w:rPr>
              <w:t>No</w:t>
            </w:r>
          </w:p>
        </w:tc>
      </w:tr>
      <w:tr>
        <w:trPr>
          <w:cantSplit/>
        </w:trPr>
        <w:tc>
          <w:tcPr>
            <w:tcW w:type="dxa" w:w="3600"/>
            <w:vAlign w:val="center"/>
            <w:tcMar>
              <w:top w:w="85" w:type="dxa"/>
              <w:left w:w="85" w:type="dxa"/>
              <w:bottom w:w="85" w:type="dxa"/>
              <w:right w:w="85" w:type="dxa"/>
            </w:tcMar>
            <w:shd w:fill="FFFFFF"/>
          </w:tcPr>
          <w:p>
            <w:pPr>
              <w:spacing w:after="40" w:before="20" w:line="252" w:lineRule="auto"/>
              <w:jc w:val="center"/>
            </w:pPr>
            <w:r>
              <w:rPr>
                <w:rFonts w:ascii="Arial" w:hAnsi="Arial"/>
                <w:sz w:val="21"/>
              </w:rPr>
              <w:t>Disto-buccal</w:t>
            </w:r>
          </w:p>
        </w:tc>
        <w:tc>
          <w:tcPr>
            <w:tcW w:type="dxa" w:w="1800"/>
            <w:vAlign w:val="center"/>
            <w:tcMar>
              <w:top w:w="85" w:type="dxa"/>
              <w:left w:w="85" w:type="dxa"/>
              <w:bottom w:w="85" w:type="dxa"/>
              <w:right w:w="85" w:type="dxa"/>
            </w:tcMar>
            <w:shd w:fill="FFFFFF"/>
          </w:tcPr>
          <w:p>
            <w:pPr>
              <w:spacing w:after="40" w:before="20" w:line="252" w:lineRule="auto"/>
            </w:pPr>
            <w:r>
              <w:rPr>
                <w:rFonts w:ascii="Arial" w:hAnsi="Arial"/>
                <w:sz w:val="21"/>
              </w:rPr>
              <w:t>5</w:t>
            </w:r>
          </w:p>
        </w:tc>
        <w:tc>
          <w:tcPr>
            <w:tcW w:type="dxa" w:w="2376"/>
            <w:vAlign w:val="center"/>
            <w:tcMar>
              <w:top w:w="85" w:type="dxa"/>
              <w:left w:w="85" w:type="dxa"/>
              <w:bottom w:w="85" w:type="dxa"/>
              <w:right w:w="85" w:type="dxa"/>
            </w:tcMar>
            <w:shd w:fill="FFFFFF"/>
          </w:tcPr>
          <w:p>
            <w:pPr>
              <w:spacing w:after="40" w:before="20" w:line="252" w:lineRule="auto"/>
            </w:pPr>
            <w:r>
              <w:rPr>
                <w:rFonts w:ascii="Arial" w:hAnsi="Arial"/>
                <w:sz w:val="21"/>
              </w:rPr>
              <w:t>0</w:t>
            </w:r>
          </w:p>
        </w:tc>
        <w:tc>
          <w:tcPr>
            <w:tcW w:type="dxa" w:w="2304"/>
            <w:vAlign w:val="center"/>
            <w:tcMar>
              <w:top w:w="85" w:type="dxa"/>
              <w:left w:w="85" w:type="dxa"/>
              <w:bottom w:w="85" w:type="dxa"/>
              <w:right w:w="85" w:type="dxa"/>
            </w:tcMar>
            <w:shd w:fill="FFFFFF"/>
          </w:tcPr>
          <w:p>
            <w:pPr>
              <w:spacing w:after="40" w:before="20" w:line="252" w:lineRule="auto"/>
            </w:pPr>
            <w:r>
              <w:rPr>
                <w:rFonts w:ascii="Arial" w:hAnsi="Arial"/>
                <w:sz w:val="21"/>
              </w:rPr>
              <w:t>Yes</w:t>
            </w:r>
          </w:p>
        </w:tc>
      </w:tr>
      <w:tr>
        <w:trPr>
          <w:cantSplit/>
        </w:trPr>
        <w:tc>
          <w:tcPr>
            <w:tcW w:type="dxa" w:w="3600"/>
            <w:vAlign w:val="center"/>
            <w:tcMar>
              <w:top w:w="85" w:type="dxa"/>
              <w:left w:w="85" w:type="dxa"/>
              <w:bottom w:w="85" w:type="dxa"/>
              <w:right w:w="85" w:type="dxa"/>
            </w:tcMar>
            <w:shd w:fill="F4F4F4"/>
          </w:tcPr>
          <w:p>
            <w:pPr>
              <w:spacing w:after="40" w:before="20" w:line="252" w:lineRule="auto"/>
              <w:jc w:val="center"/>
            </w:pPr>
            <w:r>
              <w:rPr>
                <w:rFonts w:ascii="Arial" w:hAnsi="Arial"/>
                <w:sz w:val="21"/>
              </w:rPr>
              <w:t>Mesio-palatal</w:t>
            </w:r>
          </w:p>
        </w:tc>
        <w:tc>
          <w:tcPr>
            <w:tcW w:type="dxa" w:w="1800"/>
            <w:vAlign w:val="center"/>
            <w:tcMar>
              <w:top w:w="85" w:type="dxa"/>
              <w:left w:w="85" w:type="dxa"/>
              <w:bottom w:w="85" w:type="dxa"/>
              <w:right w:w="85" w:type="dxa"/>
            </w:tcMar>
            <w:shd w:fill="F4F4F4"/>
          </w:tcPr>
          <w:p>
            <w:pPr>
              <w:spacing w:after="40" w:before="20" w:line="252" w:lineRule="auto"/>
            </w:pPr>
            <w:r>
              <w:rPr>
                <w:rFonts w:ascii="Arial" w:hAnsi="Arial"/>
                <w:sz w:val="21"/>
              </w:rPr>
              <w:t>4</w:t>
            </w:r>
          </w:p>
        </w:tc>
        <w:tc>
          <w:tcPr>
            <w:tcW w:type="dxa" w:w="2376"/>
            <w:vAlign w:val="center"/>
            <w:tcMar>
              <w:top w:w="85" w:type="dxa"/>
              <w:left w:w="85" w:type="dxa"/>
              <w:bottom w:w="85" w:type="dxa"/>
              <w:right w:w="85" w:type="dxa"/>
            </w:tcMar>
            <w:shd w:fill="F4F4F4"/>
          </w:tcPr>
          <w:p>
            <w:pPr>
              <w:spacing w:after="40" w:before="20" w:line="252" w:lineRule="auto"/>
            </w:pPr>
            <w:r>
              <w:rPr>
                <w:rFonts w:ascii="Arial" w:hAnsi="Arial"/>
                <w:sz w:val="21"/>
              </w:rPr>
              <w:t>0</w:t>
            </w:r>
          </w:p>
        </w:tc>
        <w:tc>
          <w:tcPr>
            <w:tcW w:type="dxa" w:w="2304"/>
            <w:vAlign w:val="center"/>
            <w:tcMar>
              <w:top w:w="85" w:type="dxa"/>
              <w:left w:w="85" w:type="dxa"/>
              <w:bottom w:w="85" w:type="dxa"/>
              <w:right w:w="85" w:type="dxa"/>
            </w:tcMar>
            <w:shd w:fill="F4F4F4"/>
          </w:tcPr>
          <w:p>
            <w:pPr>
              <w:spacing w:after="40" w:before="20" w:line="252" w:lineRule="auto"/>
            </w:pPr>
            <w:r>
              <w:rPr>
                <w:rFonts w:ascii="Arial" w:hAnsi="Arial"/>
                <w:sz w:val="21"/>
              </w:rPr>
              <w:t>Yes</w:t>
            </w:r>
          </w:p>
        </w:tc>
      </w:tr>
      <w:tr>
        <w:trPr>
          <w:cantSplit/>
        </w:trPr>
        <w:tc>
          <w:tcPr>
            <w:tcW w:type="dxa" w:w="3600"/>
            <w:vAlign w:val="center"/>
            <w:tcMar>
              <w:top w:w="85" w:type="dxa"/>
              <w:left w:w="85" w:type="dxa"/>
              <w:bottom w:w="85" w:type="dxa"/>
              <w:right w:w="85" w:type="dxa"/>
            </w:tcMar>
            <w:shd w:fill="FFFFFF"/>
          </w:tcPr>
          <w:p>
            <w:pPr>
              <w:spacing w:after="40" w:before="20" w:line="252" w:lineRule="auto"/>
              <w:jc w:val="center"/>
            </w:pPr>
            <w:r>
              <w:rPr>
                <w:rFonts w:ascii="Arial" w:hAnsi="Arial"/>
                <w:sz w:val="21"/>
              </w:rPr>
              <w:t>Mid-palatal</w:t>
            </w:r>
          </w:p>
        </w:tc>
        <w:tc>
          <w:tcPr>
            <w:tcW w:type="dxa" w:w="1800"/>
            <w:vAlign w:val="center"/>
            <w:tcMar>
              <w:top w:w="85" w:type="dxa"/>
              <w:left w:w="85" w:type="dxa"/>
              <w:bottom w:w="85" w:type="dxa"/>
              <w:right w:w="85" w:type="dxa"/>
            </w:tcMar>
            <w:shd w:fill="FFFFFF"/>
          </w:tcPr>
          <w:p>
            <w:pPr>
              <w:spacing w:after="40" w:before="20" w:line="252" w:lineRule="auto"/>
            </w:pPr>
            <w:r>
              <w:rPr>
                <w:rFonts w:ascii="Arial" w:hAnsi="Arial"/>
                <w:sz w:val="21"/>
              </w:rPr>
              <w:t>3</w:t>
            </w:r>
          </w:p>
        </w:tc>
        <w:tc>
          <w:tcPr>
            <w:tcW w:type="dxa" w:w="2376"/>
            <w:vAlign w:val="center"/>
            <w:tcMar>
              <w:top w:w="85" w:type="dxa"/>
              <w:left w:w="85" w:type="dxa"/>
              <w:bottom w:w="85" w:type="dxa"/>
              <w:right w:w="85" w:type="dxa"/>
            </w:tcMar>
            <w:shd w:fill="FFFFFF"/>
          </w:tcPr>
          <w:p>
            <w:pPr>
              <w:spacing w:after="40" w:before="20" w:line="252" w:lineRule="auto"/>
            </w:pPr>
            <w:r>
              <w:rPr>
                <w:rFonts w:ascii="Arial" w:hAnsi="Arial"/>
                <w:sz w:val="21"/>
              </w:rPr>
              <w:t>0</w:t>
            </w:r>
          </w:p>
        </w:tc>
        <w:tc>
          <w:tcPr>
            <w:tcW w:type="dxa" w:w="2304"/>
            <w:vAlign w:val="center"/>
            <w:tcMar>
              <w:top w:w="85" w:type="dxa"/>
              <w:left w:w="85" w:type="dxa"/>
              <w:bottom w:w="85" w:type="dxa"/>
              <w:right w:w="85" w:type="dxa"/>
            </w:tcMar>
            <w:shd w:fill="FFFFFF"/>
          </w:tcPr>
          <w:p>
            <w:pPr>
              <w:spacing w:after="40" w:before="20" w:line="252" w:lineRule="auto"/>
            </w:pPr>
            <w:r>
              <w:rPr>
                <w:rFonts w:ascii="Arial" w:hAnsi="Arial"/>
                <w:sz w:val="21"/>
              </w:rPr>
              <w:t>No</w:t>
            </w:r>
          </w:p>
        </w:tc>
      </w:tr>
      <w:tr>
        <w:trPr>
          <w:cantSplit/>
        </w:trPr>
        <w:tc>
          <w:tcPr>
            <w:tcW w:type="dxa" w:w="3600"/>
            <w:vAlign w:val="center"/>
            <w:tcMar>
              <w:top w:w="85" w:type="dxa"/>
              <w:left w:w="85" w:type="dxa"/>
              <w:bottom w:w="85" w:type="dxa"/>
              <w:right w:w="85" w:type="dxa"/>
            </w:tcMar>
            <w:shd w:fill="F4F4F4"/>
          </w:tcPr>
          <w:p>
            <w:pPr>
              <w:spacing w:after="40" w:before="20" w:line="252" w:lineRule="auto"/>
              <w:jc w:val="center"/>
            </w:pPr>
            <w:r>
              <w:rPr>
                <w:rFonts w:ascii="Arial" w:hAnsi="Arial"/>
                <w:sz w:val="21"/>
              </w:rPr>
              <w:t>Disto-palatal</w:t>
            </w:r>
          </w:p>
        </w:tc>
        <w:tc>
          <w:tcPr>
            <w:tcW w:type="dxa" w:w="1800"/>
            <w:vAlign w:val="center"/>
            <w:tcMar>
              <w:top w:w="85" w:type="dxa"/>
              <w:left w:w="85" w:type="dxa"/>
              <w:bottom w:w="85" w:type="dxa"/>
              <w:right w:w="85" w:type="dxa"/>
            </w:tcMar>
            <w:shd w:fill="F4F4F4"/>
          </w:tcPr>
          <w:p>
            <w:pPr>
              <w:spacing w:after="40" w:before="20" w:line="252" w:lineRule="auto"/>
            </w:pPr>
            <w:r>
              <w:rPr>
                <w:rFonts w:ascii="Arial" w:hAnsi="Arial"/>
                <w:sz w:val="21"/>
              </w:rPr>
              <w:t>4</w:t>
            </w:r>
          </w:p>
        </w:tc>
        <w:tc>
          <w:tcPr>
            <w:tcW w:type="dxa" w:w="2376"/>
            <w:vAlign w:val="center"/>
            <w:tcMar>
              <w:top w:w="85" w:type="dxa"/>
              <w:left w:w="85" w:type="dxa"/>
              <w:bottom w:w="85" w:type="dxa"/>
              <w:right w:w="85" w:type="dxa"/>
            </w:tcMar>
            <w:shd w:fill="F4F4F4"/>
          </w:tcPr>
          <w:p>
            <w:pPr>
              <w:spacing w:after="40" w:before="20" w:line="252" w:lineRule="auto"/>
            </w:pPr>
            <w:r>
              <w:rPr>
                <w:rFonts w:ascii="Arial" w:hAnsi="Arial"/>
                <w:sz w:val="21"/>
              </w:rPr>
              <w:t>0</w:t>
            </w:r>
          </w:p>
        </w:tc>
        <w:tc>
          <w:tcPr>
            <w:tcW w:type="dxa" w:w="2304"/>
            <w:vAlign w:val="center"/>
            <w:tcMar>
              <w:top w:w="85" w:type="dxa"/>
              <w:left w:w="85" w:type="dxa"/>
              <w:bottom w:w="85" w:type="dxa"/>
              <w:right w:w="85" w:type="dxa"/>
            </w:tcMar>
            <w:shd w:fill="F4F4F4"/>
          </w:tcPr>
          <w:p>
            <w:pPr>
              <w:spacing w:after="40" w:before="20" w:line="252" w:lineRule="auto"/>
            </w:pPr>
            <w:r>
              <w:rPr>
                <w:rFonts w:ascii="Arial" w:hAnsi="Arial"/>
                <w:sz w:val="21"/>
              </w:rPr>
              <w:t>No</w:t>
            </w:r>
          </w:p>
        </w:tc>
      </w:tr>
    </w:tbl>
    <w:p>
      <w:pPr>
        <w:spacing w:after="0"/>
      </w:pPr>
      <w:r>
        <w:rPr>
          <w:b w:val="0"/>
        </w:rPr>
      </w:r>
    </w:p>
    <w:p>
      <w:r>
        <w:rPr>
          <w:b/>
        </w:rPr>
        <w:t xml:space="preserve">Trainer activity </w:t>
      </w:r>
      <w:r>
        <w:t>Read one field at a time. Ask the learner to repeat the tooth and site, enter the value and check the cursor. Include a deliberately unheard value; the correct response is to ask, not to guess.</w:t>
      </w:r>
    </w:p>
    <w:p>
      <w:r>
        <w:rPr>
          <w:b/>
        </w:rPr>
        <w:t xml:space="preserve">Check </w:t>
      </w:r>
      <w:r>
        <w:t>Compare every site and field against the dictation, including true zeros and bleeding. Identify any shifted readings, omitted sites or data entered in the wrong row before saving.</w:t>
      </w:r>
    </w:p>
    <w:p>
      <w:r>
        <w:rPr>
          <w:b w:val="0"/>
        </w:rPr>
        <w:t>A blank field may mean unrecorded; zero may mean a measured or assessed finding. Follow the clinician’s instructions and the configured field meanings. Do not fill blanks automatically.</w:t>
      </w:r>
    </w:p>
    <w:p>
      <w:pPr>
        <w:spacing w:after="140"/>
      </w:pPr>
      <w:r>
        <w:t xml:space="preserve">Read: </w:t>
      </w:r>
      <w:hyperlink r:id="rId30">
        <w:r>
          <w:rPr>
            <w:color w:val="205781"/>
            <w:sz w:val="20"/>
          </w:rPr>
          <w:t>SOE configuring single-screen Perio order</w:t>
        </w:r>
      </w:hyperlink>
    </w:p>
    <w:p>
      <w:pPr>
        <w:spacing w:after="140"/>
      </w:pPr>
      <w:r>
        <w:t xml:space="preserve">Read: </w:t>
      </w:r>
      <w:hyperlink r:id="rId31">
        <w:r>
          <w:rPr>
            <w:color w:val="205781"/>
            <w:sz w:val="20"/>
          </w:rPr>
          <w:t>SOE editing a saved Perio chart</w:t>
        </w:r>
      </w:hyperlink>
    </w:p>
    <w:p>
      <w:pPr>
        <w:pStyle w:val="Heading1"/>
        <w:pageBreakBefore/>
      </w:pPr>
      <w:r>
        <w:t>Understanding filling materials</w:t>
      </w:r>
    </w:p>
    <w:p>
      <w:r>
        <w:rPr>
          <w:b w:val="0"/>
        </w:rPr>
        <w:t>A filling restores lost or damaged tooth structure. The clinician selects the material for the individual tooth and situation. Learn what each material is, then identify the actual product, instruments and preparation method used in your surgery.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40"/>
        <w:gridCol w:w="4032"/>
        <w:gridCol w:w="4608"/>
      </w:tblGrid>
      <w:tr>
        <w:trPr>
          <w:tblHeader/>
          <w:cantSplit/>
        </w:trPr>
        <w:tc>
          <w:tcPr>
            <w:tcW w:type="dxa" w:w="1440"/>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Material</w:t>
            </w:r>
          </w:p>
        </w:tc>
        <w:tc>
          <w:tcPr>
            <w:tcW w:type="dxa" w:w="4032"/>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What it is</w:t>
            </w:r>
          </w:p>
        </w:tc>
        <w:tc>
          <w:tcPr>
            <w:tcW w:type="dxa" w:w="4608"/>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Beginner nursing focus</w:t>
            </w:r>
          </w:p>
        </w:tc>
      </w:tr>
      <w:tr>
        <w:trPr>
          <w:cantSplit/>
        </w:trPr>
        <w:tc>
          <w:tcPr>
            <w:tcW w:type="dxa" w:w="1440"/>
            <w:vAlign w:val="center"/>
            <w:tcMar>
              <w:top w:w="85" w:type="dxa"/>
              <w:left w:w="85" w:type="dxa"/>
              <w:bottom w:w="85" w:type="dxa"/>
              <w:right w:w="85" w:type="dxa"/>
            </w:tcMar>
            <w:shd w:fill="FFFFFF"/>
          </w:tcPr>
          <w:p>
            <w:pPr>
              <w:spacing w:after="40" w:before="20" w:line="252" w:lineRule="auto"/>
              <w:jc w:val="center"/>
            </w:pPr>
            <w:r>
              <w:rPr>
                <w:rFonts w:ascii="Arial" w:hAnsi="Arial"/>
                <w:sz w:val="20"/>
              </w:rPr>
              <w:t>Amalgam</w:t>
            </w:r>
          </w:p>
        </w:tc>
        <w:tc>
          <w:tcPr>
            <w:tcW w:type="dxa" w:w="4032"/>
            <w:vAlign w:val="center"/>
            <w:tcMar>
              <w:top w:w="85" w:type="dxa"/>
              <w:left w:w="85" w:type="dxa"/>
              <w:bottom w:w="85" w:type="dxa"/>
              <w:right w:w="85" w:type="dxa"/>
            </w:tcMar>
            <w:shd w:fill="FFFFFF"/>
          </w:tcPr>
          <w:p>
            <w:pPr>
              <w:spacing w:after="40" w:before="20" w:line="252" w:lineRule="auto"/>
            </w:pPr>
            <w:r>
              <w:rPr>
                <w:rFonts w:ascii="Arial" w:hAnsi="Arial"/>
                <w:sz w:val="20"/>
              </w:rPr>
              <w:t>A silver-coloured restorative material made from mercury and an alloy powder containing metals such as silver, tin and copper.</w:t>
            </w:r>
          </w:p>
        </w:tc>
        <w:tc>
          <w:tcPr>
            <w:tcW w:type="dxa" w:w="4608"/>
            <w:vAlign w:val="center"/>
            <w:tcMar>
              <w:top w:w="85" w:type="dxa"/>
              <w:left w:w="85" w:type="dxa"/>
              <w:bottom w:w="85" w:type="dxa"/>
              <w:right w:w="85" w:type="dxa"/>
            </w:tcMar>
            <w:shd w:fill="FFFFFF"/>
          </w:tcPr>
          <w:p>
            <w:pPr>
              <w:spacing w:after="40" w:before="20" w:line="252" w:lineRule="auto"/>
            </w:pPr>
            <w:r>
              <w:rPr>
                <w:rFonts w:ascii="Arial" w:hAnsi="Arial"/>
                <w:sz w:val="20"/>
              </w:rPr>
              <w:t>Recognise the capsule and taught mixing equipment, carrier, condenser and carving instruments. Follow the amalgam handling, waste and spill procedures.</w:t>
            </w:r>
          </w:p>
        </w:tc>
      </w:tr>
      <w:tr>
        <w:trPr>
          <w:cantSplit/>
        </w:trPr>
        <w:tc>
          <w:tcPr>
            <w:tcW w:type="dxa" w:w="1440"/>
            <w:vAlign w:val="center"/>
            <w:tcMar>
              <w:top w:w="85" w:type="dxa"/>
              <w:left w:w="85" w:type="dxa"/>
              <w:bottom w:w="85" w:type="dxa"/>
              <w:right w:w="85" w:type="dxa"/>
            </w:tcMar>
            <w:shd w:fill="F4F4F4"/>
          </w:tcPr>
          <w:p>
            <w:pPr>
              <w:spacing w:after="40" w:before="20" w:line="252" w:lineRule="auto"/>
              <w:jc w:val="center"/>
            </w:pPr>
            <w:r>
              <w:rPr>
                <w:rFonts w:ascii="Arial" w:hAnsi="Arial"/>
                <w:sz w:val="20"/>
              </w:rPr>
              <w:t>GIC</w:t>
            </w:r>
          </w:p>
        </w:tc>
        <w:tc>
          <w:tcPr>
            <w:tcW w:type="dxa" w:w="4032"/>
            <w:vAlign w:val="center"/>
            <w:tcMar>
              <w:top w:w="85" w:type="dxa"/>
              <w:left w:w="85" w:type="dxa"/>
              <w:bottom w:w="85" w:type="dxa"/>
              <w:right w:w="85" w:type="dxa"/>
            </w:tcMar>
            <w:shd w:fill="F4F4F4"/>
          </w:tcPr>
          <w:p>
            <w:pPr>
              <w:spacing w:after="40" w:before="20" w:line="252" w:lineRule="auto"/>
            </w:pPr>
            <w:r>
              <w:rPr>
                <w:rFonts w:ascii="Arial" w:hAnsi="Arial"/>
                <w:sz w:val="20"/>
              </w:rPr>
              <w:t>Glass ionomer cement: a material based on glass powder and an acid component. Products have different restorative or cementing uses.</w:t>
            </w:r>
          </w:p>
        </w:tc>
        <w:tc>
          <w:tcPr>
            <w:tcW w:type="dxa" w:w="4608"/>
            <w:vAlign w:val="center"/>
            <w:tcMar>
              <w:top w:w="85" w:type="dxa"/>
              <w:left w:w="85" w:type="dxa"/>
              <w:bottom w:w="85" w:type="dxa"/>
              <w:right w:w="85" w:type="dxa"/>
            </w:tcMar>
            <w:shd w:fill="F4F4F4"/>
          </w:tcPr>
          <w:p>
            <w:pPr>
              <w:spacing w:after="40" w:before="20" w:line="252" w:lineRule="auto"/>
            </w:pPr>
            <w:r>
              <w:rPr>
                <w:rFonts w:ascii="Arial" w:hAnsi="Arial"/>
                <w:sz w:val="20"/>
              </w:rPr>
              <w:t>Identify the exact product and whether it is hand-mixed, encapsulated or another type. Follow its measured proportions, working time and setting instructions.</w:t>
            </w:r>
          </w:p>
        </w:tc>
      </w:tr>
      <w:tr>
        <w:trPr>
          <w:cantSplit/>
        </w:trPr>
        <w:tc>
          <w:tcPr>
            <w:tcW w:type="dxa" w:w="1440"/>
            <w:vAlign w:val="center"/>
            <w:tcMar>
              <w:top w:w="85" w:type="dxa"/>
              <w:left w:w="85" w:type="dxa"/>
              <w:bottom w:w="85" w:type="dxa"/>
              <w:right w:w="85" w:type="dxa"/>
            </w:tcMar>
            <w:shd w:fill="FFFFFF"/>
          </w:tcPr>
          <w:p>
            <w:pPr>
              <w:spacing w:after="40" w:before="20" w:line="252" w:lineRule="auto"/>
              <w:jc w:val="center"/>
            </w:pPr>
            <w:r>
              <w:rPr>
                <w:rFonts w:ascii="Arial" w:hAnsi="Arial"/>
                <w:sz w:val="20"/>
              </w:rPr>
              <w:t>Composite</w:t>
            </w:r>
          </w:p>
        </w:tc>
        <w:tc>
          <w:tcPr>
            <w:tcW w:type="dxa" w:w="4032"/>
            <w:vAlign w:val="center"/>
            <w:tcMar>
              <w:top w:w="85" w:type="dxa"/>
              <w:left w:w="85" w:type="dxa"/>
              <w:bottom w:w="85" w:type="dxa"/>
              <w:right w:w="85" w:type="dxa"/>
            </w:tcMar>
            <w:shd w:fill="FFFFFF"/>
          </w:tcPr>
          <w:p>
            <w:pPr>
              <w:spacing w:after="40" w:before="20" w:line="252" w:lineRule="auto"/>
            </w:pPr>
            <w:r>
              <w:rPr>
                <w:rFonts w:ascii="Arial" w:hAnsi="Arial"/>
                <w:sz w:val="20"/>
              </w:rPr>
              <w:t>A tooth-coloured resin-based material containing filler particles. Many restorative composites are hardened with a curing light.</w:t>
            </w:r>
          </w:p>
        </w:tc>
        <w:tc>
          <w:tcPr>
            <w:tcW w:type="dxa" w:w="4608"/>
            <w:vAlign w:val="center"/>
            <w:tcMar>
              <w:top w:w="85" w:type="dxa"/>
              <w:left w:w="85" w:type="dxa"/>
              <w:bottom w:w="85" w:type="dxa"/>
              <w:right w:w="85" w:type="dxa"/>
            </w:tcMar>
            <w:shd w:fill="FFFFFF"/>
          </w:tcPr>
          <w:p>
            <w:pPr>
              <w:spacing w:after="40" w:before="20" w:line="252" w:lineRule="auto"/>
            </w:pPr>
            <w:r>
              <w:rPr>
                <w:rFonts w:ascii="Arial" w:hAnsi="Arial"/>
                <w:sz w:val="20"/>
              </w:rPr>
              <w:t>Recognise the prescribed bonding system, composite, matrix or wedge where needed, and curing-light protection. Moisture control and the product sequence matter.</w:t>
            </w:r>
          </w:p>
        </w:tc>
      </w:tr>
    </w:tbl>
    <w:p>
      <w:pPr>
        <w:spacing w:after="0"/>
      </w:pPr>
      <w:r>
        <w:rPr>
          <w:b w:val="0"/>
        </w:rPr>
      </w:r>
    </w:p>
    <w:p>
      <w:pPr>
        <w:pStyle w:val="Heading2"/>
      </w:pPr>
      <w:r>
        <w:t>Follow a simple filling appointment</w:t>
      </w:r>
    </w:p>
    <w:p>
      <w:r>
        <w:rPr>
          <w:b w:val="0"/>
        </w:rPr>
        <w:t>The clinician checks the tooth and agreed treatment, provides anaesthesia when needed, prepares and isolates the tooth, places the chosen material, then shapes and checks the restoration. The exact sequence depends on the tooth and product. The nurse prepares the taught items, supports moisture control and records the confirmed treatment.</w:t>
      </w:r>
    </w:p>
    <w:p>
      <w:pPr>
        <w:pStyle w:val="Heading2"/>
      </w:pPr>
      <w:r>
        <w:t>Avoid three common assumptions</w:t>
      </w:r>
    </w:p>
    <w:p>
      <w:pPr>
        <w:pStyle w:val="ListBullet"/>
      </w:pPr>
      <w:r>
        <w:rPr>
          <w:b w:val="0"/>
        </w:rPr>
        <w:t>A tooth-coloured filling is not automatically composite. Ask which material the clinician is using.</w:t>
      </w:r>
    </w:p>
    <w:p>
      <w:pPr>
        <w:pStyle w:val="ListBullet"/>
      </w:pPr>
      <w:r>
        <w:rPr>
          <w:b w:val="0"/>
        </w:rPr>
        <w:t>GIC is not always temporary. Its use depends on the product and clinical decision. Some resin-modified products require light curing.</w:t>
      </w:r>
    </w:p>
    <w:p>
      <w:pPr>
        <w:pStyle w:val="ListBullet"/>
      </w:pPr>
      <w:r>
        <w:rPr>
          <w:b w:val="0"/>
        </w:rPr>
        <w:t>A video’s mixing method is not a universal recipe. Use the current instructions for the specific material, including curing and protective requirements.</w:t>
      </w:r>
    </w:p>
    <w:p>
      <w:r>
        <w:rPr>
          <w:b/>
        </w:rPr>
        <w:t xml:space="preserve">Practise </w:t>
      </w:r>
      <w:r>
        <w:t>After the written explanation and relevant clip, identify the actual product and tray. Explain what each item is for and which steps require the clinician’s instruction.</w:t>
      </w:r>
    </w:p>
    <w:p>
      <w:pPr>
        <w:spacing w:after="140"/>
      </w:pPr>
      <w:r>
        <w:t xml:space="preserve">Read: </w:t>
      </w:r>
      <w:hyperlink r:id="rId32">
        <w:r>
          <w:rPr>
            <w:color w:val="205781"/>
            <w:sz w:val="20"/>
          </w:rPr>
          <w:t>Sussex Community NHS dental fillings</w:t>
        </w:r>
      </w:hyperlink>
    </w:p>
    <w:p>
      <w:pPr>
        <w:spacing w:after="140"/>
      </w:pPr>
      <w:r>
        <w:t xml:space="preserve">Read: </w:t>
      </w:r>
      <w:hyperlink r:id="rId17">
        <w:r>
          <w:rPr>
            <w:color w:val="205781"/>
            <w:sz w:val="20"/>
          </w:rPr>
          <w:t>NIDCR dental fillings</w:t>
        </w:r>
      </w:hyperlink>
    </w:p>
    <w:p>
      <w:pPr>
        <w:pStyle w:val="Heading1"/>
        <w:pageBreakBefore/>
      </w:pPr>
      <w:r>
        <w:t>Crowns extractions and root canal treatment</w:t>
      </w:r>
    </w:p>
    <w:p>
      <w:pPr>
        <w:pStyle w:val="Heading2"/>
      </w:pPr>
      <w:r>
        <w:t>Crown</w:t>
      </w:r>
    </w:p>
    <w:p>
      <w:r>
        <w:rPr>
          <w:b w:val="0"/>
        </w:rPr>
        <w:t>A crown is a manufactured covering fitted over a prepared tooth. It may be used to restore a damaged or weakened tooth. Learn to distinguish the preparation appointment from the fitting appointment. Preparation commonly includes shaping the tooth, an impression or digital scan, shade and laboratory information, and a temporary restoration where needed. At fitting, the clinician checks the crown before fixing it in place.</w:t>
      </w:r>
    </w:p>
    <w:p>
      <w:r>
        <w:rPr>
          <w:b/>
        </w:rPr>
        <w:t xml:space="preserve">Nursing focus </w:t>
      </w:r>
      <w:r>
        <w:t>Correct tooth and stage, the requested preparation or fitting tray, scan or impression support, shade and laboratory instructions, temporary materials and dictated records. Material selection and clinical acceptance remain with the clinician.</w:t>
      </w:r>
    </w:p>
    <w:p>
      <w:pPr>
        <w:pStyle w:val="Heading2"/>
      </w:pPr>
      <w:r>
        <w:t>Extraction</w:t>
      </w:r>
    </w:p>
    <w:p>
      <w:r>
        <w:rPr>
          <w:b w:val="0"/>
        </w:rPr>
        <w:t>An extraction removes a tooth or tooth part. The clinician confirms the tooth and consent, provides suitable anaesthesia, removes the tooth and manages the socket and bleeding. Some extractions require surgical steps. A retained root may need a separate clinical decision about treatment.</w:t>
      </w:r>
    </w:p>
    <w:p>
      <w:r>
        <w:rPr>
          <w:b/>
        </w:rPr>
        <w:t xml:space="preserve">Nursing focus </w:t>
      </w:r>
      <w:r>
        <w:t>Support the practice’s tooth-verification process, prepare the selected forceps and other taught items, use safe suction and passing methods, and have the requested gauze and aftercare materials available. Give only the clinician-approved information and report patient distress promptly.</w:t>
      </w:r>
    </w:p>
    <w:p>
      <w:pPr>
        <w:pStyle w:val="Heading2"/>
      </w:pPr>
      <w:r>
        <w:t>Root canal treatment</w:t>
      </w:r>
    </w:p>
    <w:p>
      <w:r>
        <w:rPr>
          <w:b w:val="0"/>
        </w:rPr>
        <w:t>Root canal treatment, or RCT, treats disease inside the tooth. The clinician accesses the pulp space, removes affected pulp tissue, cleans and shapes the root canal system, then fills and seals it. A temporary filling may be used between appointments, and the tooth needs a suitable final restoration. Treatment can involve more than one visit.</w:t>
      </w:r>
    </w:p>
    <w:p>
      <w:r>
        <w:rPr>
          <w:b/>
        </w:rPr>
        <w:t xml:space="preserve">Nursing focus </w:t>
      </w:r>
      <w:r>
        <w:t>Recognise rubber dam isolation, endodontic instruments, the requested irrigation and filling materials, and safe handling of small sharps. Prepare only products and quantities instructed by the clinician. Record the actual stage completed, not “RCT complete” merely because an initial stage has taken place.</w:t>
      </w:r>
    </w:p>
    <w:p>
      <w:r>
        <w:rPr>
          <w:b w:val="0"/>
        </w:rPr>
        <w:t>Watch the S3 root canal stage-one and rubber-dam clips after this explanation. They support recognition of setup; the supervising clinician teaches the procedure-specific method and precautions.</w:t>
      </w:r>
    </w:p>
    <w:p>
      <w:pPr>
        <w:spacing w:after="140"/>
      </w:pPr>
      <w:r>
        <w:t xml:space="preserve">Read: </w:t>
      </w:r>
      <w:hyperlink r:id="rId33">
        <w:r>
          <w:rPr>
            <w:color w:val="205781"/>
            <w:sz w:val="20"/>
          </w:rPr>
          <w:t>NHS dental treatments including crowns</w:t>
        </w:r>
      </w:hyperlink>
    </w:p>
    <w:p>
      <w:pPr>
        <w:spacing w:after="140"/>
      </w:pPr>
      <w:r>
        <w:t xml:space="preserve">Read: </w:t>
      </w:r>
      <w:hyperlink r:id="rId34">
        <w:r>
          <w:rPr>
            <w:color w:val="205781"/>
            <w:sz w:val="20"/>
          </w:rPr>
          <w:t>NHS root canal treatment</w:t>
        </w:r>
      </w:hyperlink>
    </w:p>
    <w:p>
      <w:pPr>
        <w:spacing w:after="140"/>
      </w:pPr>
      <w:r>
        <w:t xml:space="preserve">Read: </w:t>
      </w:r>
      <w:hyperlink r:id="rId15">
        <w:r>
          <w:rPr>
            <w:color w:val="205781"/>
            <w:sz w:val="20"/>
          </w:rPr>
          <w:t>American Dental Association clinical terms</w:t>
        </w:r>
      </w:hyperlink>
    </w:p>
    <w:p>
      <w:pPr>
        <w:pStyle w:val="Heading1"/>
        <w:pageBreakBefore/>
      </w:pPr>
      <w:r>
        <w:t>S3 treatment video learning list</w:t>
      </w:r>
    </w:p>
    <w:p>
      <w:r>
        <w:rPr>
          <w:b w:val="0"/>
        </w:rPr>
        <w:t>Use these short Sami Butt channel clips after learning what the treatment is. Watch with a trainer, pause to name the items, then compare the tray with the current setup used in your surgery. These references support the written explanations and supervised teaching.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3816"/>
        <w:gridCol w:w="936"/>
        <w:gridCol w:w="4536"/>
      </w:tblGrid>
      <w:tr>
        <w:trPr>
          <w:tblHeader/>
          <w:cantSplit/>
        </w:trPr>
        <w:tc>
          <w:tcPr>
            <w:tcW w:type="dxa" w:w="792"/>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Order</w:t>
            </w:r>
          </w:p>
        </w:tc>
        <w:tc>
          <w:tcPr>
            <w:tcW w:type="dxa" w:w="3816"/>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Video link</w:t>
            </w:r>
          </w:p>
        </w:tc>
        <w:tc>
          <w:tcPr>
            <w:tcW w:type="dxa" w:w="936"/>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Length</w:t>
            </w:r>
          </w:p>
        </w:tc>
        <w:tc>
          <w:tcPr>
            <w:tcW w:type="dxa" w:w="4536"/>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Learning activity</w:t>
            </w:r>
          </w:p>
        </w:tc>
      </w:tr>
      <w:tr>
        <w:trPr>
          <w:cantSplit/>
        </w:trPr>
        <w:tc>
          <w:tcPr>
            <w:tcW w:type="dxa" w:w="792"/>
            <w:vAlign w:val="center"/>
            <w:tcMar>
              <w:top w:w="85" w:type="dxa"/>
              <w:left w:w="85" w:type="dxa"/>
              <w:bottom w:w="85" w:type="dxa"/>
              <w:right w:w="85" w:type="dxa"/>
            </w:tcMar>
            <w:shd w:fill="FFFFFF"/>
          </w:tcPr>
          <w:p>
            <w:pPr>
              <w:spacing w:after="40" w:before="20" w:line="252" w:lineRule="auto"/>
              <w:jc w:val="center"/>
            </w:pPr>
            <w:r>
              <w:rPr>
                <w:rFonts w:ascii="Arial" w:hAnsi="Arial"/>
                <w:sz w:val="20"/>
              </w:rPr>
              <w:t>1</w:t>
            </w:r>
          </w:p>
        </w:tc>
        <w:tc>
          <w:tcPr>
            <w:tcW w:type="dxa" w:w="3816"/>
            <w:vAlign w:val="center"/>
            <w:tcMar>
              <w:top w:w="85" w:type="dxa"/>
              <w:left w:w="85" w:type="dxa"/>
              <w:bottom w:w="85" w:type="dxa"/>
              <w:right w:w="85" w:type="dxa"/>
            </w:tcMar>
            <w:shd w:fill="FFFFFF"/>
          </w:tcPr>
          <w:p>
            <w:pPr>
              <w:spacing w:after="40" w:before="20" w:line="252" w:lineRule="auto"/>
            </w:pPr>
            <w:hyperlink r:id="rId35">
              <w:r>
                <w:rPr>
                  <w:color w:val="205781"/>
                  <w:sz w:val="20"/>
                </w:rPr>
                <w:t>Amalgam Filling Tray</w:t>
              </w:r>
            </w:hyperlink>
          </w:p>
        </w:tc>
        <w:tc>
          <w:tcPr>
            <w:tcW w:type="dxa" w:w="936"/>
            <w:vAlign w:val="center"/>
            <w:tcMar>
              <w:top w:w="85" w:type="dxa"/>
              <w:left w:w="85" w:type="dxa"/>
              <w:bottom w:w="85" w:type="dxa"/>
              <w:right w:w="85" w:type="dxa"/>
            </w:tcMar>
            <w:shd w:fill="FFFFFF"/>
          </w:tcPr>
          <w:p>
            <w:pPr>
              <w:spacing w:after="40" w:before="20" w:line="252" w:lineRule="auto"/>
            </w:pPr>
            <w:r>
              <w:rPr>
                <w:rFonts w:ascii="Arial" w:hAnsi="Arial"/>
                <w:sz w:val="20"/>
              </w:rPr>
              <w:t>0:40</w:t>
            </w:r>
          </w:p>
        </w:tc>
        <w:tc>
          <w:tcPr>
            <w:tcW w:type="dxa" w:w="4536"/>
            <w:vAlign w:val="center"/>
            <w:tcMar>
              <w:top w:w="85" w:type="dxa"/>
              <w:left w:w="85" w:type="dxa"/>
              <w:bottom w:w="85" w:type="dxa"/>
              <w:right w:w="85" w:type="dxa"/>
            </w:tcMar>
            <w:shd w:fill="FFFFFF"/>
          </w:tcPr>
          <w:p>
            <w:pPr>
              <w:spacing w:after="40" w:before="20" w:line="252" w:lineRule="auto"/>
            </w:pPr>
            <w:r>
              <w:rPr>
                <w:rFonts w:ascii="Arial" w:hAnsi="Arial"/>
                <w:sz w:val="20"/>
              </w:rPr>
              <w:t>Name the items on the amalgam tray and explain their purpose.</w:t>
            </w:r>
          </w:p>
        </w:tc>
      </w:tr>
      <w:tr>
        <w:trPr>
          <w:cantSplit/>
        </w:trPr>
        <w:tc>
          <w:tcPr>
            <w:tcW w:type="dxa" w:w="792"/>
            <w:vAlign w:val="center"/>
            <w:tcMar>
              <w:top w:w="85" w:type="dxa"/>
              <w:left w:w="85" w:type="dxa"/>
              <w:bottom w:w="85" w:type="dxa"/>
              <w:right w:w="85" w:type="dxa"/>
            </w:tcMar>
            <w:shd w:fill="F4F4F4"/>
          </w:tcPr>
          <w:p>
            <w:pPr>
              <w:spacing w:after="40" w:before="20" w:line="252" w:lineRule="auto"/>
              <w:jc w:val="center"/>
            </w:pPr>
            <w:r>
              <w:rPr>
                <w:rFonts w:ascii="Arial" w:hAnsi="Arial"/>
                <w:sz w:val="20"/>
              </w:rPr>
              <w:t>2</w:t>
            </w:r>
          </w:p>
        </w:tc>
        <w:tc>
          <w:tcPr>
            <w:tcW w:type="dxa" w:w="3816"/>
            <w:vAlign w:val="center"/>
            <w:tcMar>
              <w:top w:w="85" w:type="dxa"/>
              <w:left w:w="85" w:type="dxa"/>
              <w:bottom w:w="85" w:type="dxa"/>
              <w:right w:w="85" w:type="dxa"/>
            </w:tcMar>
            <w:shd w:fill="F4F4F4"/>
          </w:tcPr>
          <w:p>
            <w:pPr>
              <w:spacing w:after="40" w:before="20" w:line="252" w:lineRule="auto"/>
            </w:pPr>
            <w:hyperlink r:id="rId36">
              <w:r>
                <w:rPr>
                  <w:color w:val="205781"/>
                  <w:sz w:val="20"/>
                </w:rPr>
                <w:t>Temporary Filling tray (GIC)</w:t>
              </w:r>
            </w:hyperlink>
          </w:p>
        </w:tc>
        <w:tc>
          <w:tcPr>
            <w:tcW w:type="dxa" w:w="936"/>
            <w:vAlign w:val="center"/>
            <w:tcMar>
              <w:top w:w="85" w:type="dxa"/>
              <w:left w:w="85" w:type="dxa"/>
              <w:bottom w:w="85" w:type="dxa"/>
              <w:right w:w="85" w:type="dxa"/>
            </w:tcMar>
            <w:shd w:fill="F4F4F4"/>
          </w:tcPr>
          <w:p>
            <w:pPr>
              <w:spacing w:after="40" w:before="20" w:line="252" w:lineRule="auto"/>
            </w:pPr>
            <w:r>
              <w:rPr>
                <w:rFonts w:ascii="Arial" w:hAnsi="Arial"/>
                <w:sz w:val="20"/>
              </w:rPr>
              <w:t>0:32</w:t>
            </w:r>
          </w:p>
        </w:tc>
        <w:tc>
          <w:tcPr>
            <w:tcW w:type="dxa" w:w="4536"/>
            <w:vAlign w:val="center"/>
            <w:tcMar>
              <w:top w:w="85" w:type="dxa"/>
              <w:left w:w="85" w:type="dxa"/>
              <w:bottom w:w="85" w:type="dxa"/>
              <w:right w:w="85" w:type="dxa"/>
            </w:tcMar>
            <w:shd w:fill="F4F4F4"/>
          </w:tcPr>
          <w:p>
            <w:pPr>
              <w:spacing w:after="40" w:before="20" w:line="252" w:lineRule="auto"/>
            </w:pPr>
            <w:r>
              <w:rPr>
                <w:rFonts w:ascii="Arial" w:hAnsi="Arial"/>
                <w:sz w:val="20"/>
              </w:rPr>
              <w:t>Identify the temporary GIC setup and compare with the local product.</w:t>
            </w:r>
          </w:p>
        </w:tc>
      </w:tr>
      <w:tr>
        <w:trPr>
          <w:cantSplit/>
        </w:trPr>
        <w:tc>
          <w:tcPr>
            <w:tcW w:type="dxa" w:w="792"/>
            <w:vAlign w:val="center"/>
            <w:tcMar>
              <w:top w:w="85" w:type="dxa"/>
              <w:left w:w="85" w:type="dxa"/>
              <w:bottom w:w="85" w:type="dxa"/>
              <w:right w:w="85" w:type="dxa"/>
            </w:tcMar>
            <w:shd w:fill="FFFFFF"/>
          </w:tcPr>
          <w:p>
            <w:pPr>
              <w:spacing w:after="40" w:before="20" w:line="252" w:lineRule="auto"/>
              <w:jc w:val="center"/>
            </w:pPr>
            <w:r>
              <w:rPr>
                <w:rFonts w:ascii="Arial" w:hAnsi="Arial"/>
                <w:sz w:val="20"/>
              </w:rPr>
              <w:t>3</w:t>
            </w:r>
          </w:p>
        </w:tc>
        <w:tc>
          <w:tcPr>
            <w:tcW w:type="dxa" w:w="3816"/>
            <w:vAlign w:val="center"/>
            <w:tcMar>
              <w:top w:w="85" w:type="dxa"/>
              <w:left w:w="85" w:type="dxa"/>
              <w:bottom w:w="85" w:type="dxa"/>
              <w:right w:w="85" w:type="dxa"/>
            </w:tcMar>
            <w:shd w:fill="FFFFFF"/>
          </w:tcPr>
          <w:p>
            <w:pPr>
              <w:spacing w:after="40" w:before="20" w:line="252" w:lineRule="auto"/>
            </w:pPr>
            <w:hyperlink r:id="rId37">
              <w:r>
                <w:rPr>
                  <w:color w:val="205781"/>
                  <w:sz w:val="20"/>
                </w:rPr>
                <w:t>GIC Powder Liquid Mixing</w:t>
              </w:r>
            </w:hyperlink>
          </w:p>
        </w:tc>
        <w:tc>
          <w:tcPr>
            <w:tcW w:type="dxa" w:w="936"/>
            <w:vAlign w:val="center"/>
            <w:tcMar>
              <w:top w:w="85" w:type="dxa"/>
              <w:left w:w="85" w:type="dxa"/>
              <w:bottom w:w="85" w:type="dxa"/>
              <w:right w:w="85" w:type="dxa"/>
            </w:tcMar>
            <w:shd w:fill="FFFFFF"/>
          </w:tcPr>
          <w:p>
            <w:pPr>
              <w:spacing w:after="40" w:before="20" w:line="252" w:lineRule="auto"/>
            </w:pPr>
            <w:r>
              <w:rPr>
                <w:rFonts w:ascii="Arial" w:hAnsi="Arial"/>
                <w:sz w:val="20"/>
              </w:rPr>
              <w:t>1:13</w:t>
            </w:r>
          </w:p>
        </w:tc>
        <w:tc>
          <w:tcPr>
            <w:tcW w:type="dxa" w:w="4536"/>
            <w:vAlign w:val="center"/>
            <w:tcMar>
              <w:top w:w="85" w:type="dxa"/>
              <w:left w:w="85" w:type="dxa"/>
              <w:bottom w:w="85" w:type="dxa"/>
              <w:right w:w="85" w:type="dxa"/>
            </w:tcMar>
            <w:shd w:fill="FFFFFF"/>
          </w:tcPr>
          <w:p>
            <w:pPr>
              <w:spacing w:after="40" w:before="20" w:line="252" w:lineRule="auto"/>
            </w:pPr>
            <w:r>
              <w:rPr>
                <w:rFonts w:ascii="Arial" w:hAnsi="Arial"/>
                <w:sz w:val="20"/>
              </w:rPr>
              <w:t>Observe the mix; use the current instructions for the exact GIC.</w:t>
            </w:r>
          </w:p>
        </w:tc>
      </w:tr>
      <w:tr>
        <w:trPr>
          <w:cantSplit/>
        </w:trPr>
        <w:tc>
          <w:tcPr>
            <w:tcW w:type="dxa" w:w="792"/>
            <w:vAlign w:val="center"/>
            <w:tcMar>
              <w:top w:w="85" w:type="dxa"/>
              <w:left w:w="85" w:type="dxa"/>
              <w:bottom w:w="85" w:type="dxa"/>
              <w:right w:w="85" w:type="dxa"/>
            </w:tcMar>
            <w:shd w:fill="F4F4F4"/>
          </w:tcPr>
          <w:p>
            <w:pPr>
              <w:spacing w:after="40" w:before="20" w:line="252" w:lineRule="auto"/>
              <w:jc w:val="center"/>
            </w:pPr>
            <w:r>
              <w:rPr>
                <w:rFonts w:ascii="Arial" w:hAnsi="Arial"/>
                <w:sz w:val="20"/>
              </w:rPr>
              <w:t>4</w:t>
            </w:r>
          </w:p>
        </w:tc>
        <w:tc>
          <w:tcPr>
            <w:tcW w:type="dxa" w:w="3816"/>
            <w:vAlign w:val="center"/>
            <w:tcMar>
              <w:top w:w="85" w:type="dxa"/>
              <w:left w:w="85" w:type="dxa"/>
              <w:bottom w:w="85" w:type="dxa"/>
              <w:right w:w="85" w:type="dxa"/>
            </w:tcMar>
            <w:shd w:fill="F4F4F4"/>
          </w:tcPr>
          <w:p>
            <w:pPr>
              <w:spacing w:after="40" w:before="20" w:line="252" w:lineRule="auto"/>
            </w:pPr>
            <w:hyperlink r:id="rId38">
              <w:r>
                <w:rPr>
                  <w:color w:val="205781"/>
                  <w:sz w:val="20"/>
                </w:rPr>
                <w:t>RubberDam Set Up</w:t>
              </w:r>
            </w:hyperlink>
          </w:p>
        </w:tc>
        <w:tc>
          <w:tcPr>
            <w:tcW w:type="dxa" w:w="936"/>
            <w:vAlign w:val="center"/>
            <w:tcMar>
              <w:top w:w="85" w:type="dxa"/>
              <w:left w:w="85" w:type="dxa"/>
              <w:bottom w:w="85" w:type="dxa"/>
              <w:right w:w="85" w:type="dxa"/>
            </w:tcMar>
            <w:shd w:fill="F4F4F4"/>
          </w:tcPr>
          <w:p>
            <w:pPr>
              <w:spacing w:after="40" w:before="20" w:line="252" w:lineRule="auto"/>
            </w:pPr>
            <w:r>
              <w:rPr>
                <w:rFonts w:ascii="Arial" w:hAnsi="Arial"/>
                <w:sz w:val="20"/>
              </w:rPr>
              <w:t>1:23</w:t>
            </w:r>
          </w:p>
        </w:tc>
        <w:tc>
          <w:tcPr>
            <w:tcW w:type="dxa" w:w="4536"/>
            <w:vAlign w:val="center"/>
            <w:tcMar>
              <w:top w:w="85" w:type="dxa"/>
              <w:left w:w="85" w:type="dxa"/>
              <w:bottom w:w="85" w:type="dxa"/>
              <w:right w:w="85" w:type="dxa"/>
            </w:tcMar>
            <w:shd w:fill="F4F4F4"/>
          </w:tcPr>
          <w:p>
            <w:pPr>
              <w:spacing w:after="40" w:before="20" w:line="252" w:lineRule="auto"/>
            </w:pPr>
            <w:r>
              <w:rPr>
                <w:rFonts w:ascii="Arial" w:hAnsi="Arial"/>
                <w:sz w:val="20"/>
              </w:rPr>
              <w:t>Recognise the dam, frame, clamp and associated instruments.</w:t>
            </w:r>
          </w:p>
        </w:tc>
      </w:tr>
      <w:tr>
        <w:trPr>
          <w:cantSplit/>
        </w:trPr>
        <w:tc>
          <w:tcPr>
            <w:tcW w:type="dxa" w:w="792"/>
            <w:vAlign w:val="center"/>
            <w:tcMar>
              <w:top w:w="85" w:type="dxa"/>
              <w:left w:w="85" w:type="dxa"/>
              <w:bottom w:w="85" w:type="dxa"/>
              <w:right w:w="85" w:type="dxa"/>
            </w:tcMar>
            <w:shd w:fill="FFFFFF"/>
          </w:tcPr>
          <w:p>
            <w:pPr>
              <w:spacing w:after="40" w:before="20" w:line="252" w:lineRule="auto"/>
              <w:jc w:val="center"/>
            </w:pPr>
            <w:r>
              <w:rPr>
                <w:rFonts w:ascii="Arial" w:hAnsi="Arial"/>
                <w:sz w:val="20"/>
              </w:rPr>
              <w:t>5</w:t>
            </w:r>
          </w:p>
        </w:tc>
        <w:tc>
          <w:tcPr>
            <w:tcW w:type="dxa" w:w="3816"/>
            <w:vAlign w:val="center"/>
            <w:tcMar>
              <w:top w:w="85" w:type="dxa"/>
              <w:left w:w="85" w:type="dxa"/>
              <w:bottom w:w="85" w:type="dxa"/>
              <w:right w:w="85" w:type="dxa"/>
            </w:tcMar>
            <w:shd w:fill="FFFFFF"/>
          </w:tcPr>
          <w:p>
            <w:pPr>
              <w:spacing w:after="40" w:before="20" w:line="252" w:lineRule="auto"/>
            </w:pPr>
            <w:hyperlink r:id="rId39">
              <w:r>
                <w:rPr>
                  <w:color w:val="205781"/>
                  <w:sz w:val="20"/>
                </w:rPr>
                <w:t>Rubber Dam Placement</w:t>
              </w:r>
            </w:hyperlink>
          </w:p>
        </w:tc>
        <w:tc>
          <w:tcPr>
            <w:tcW w:type="dxa" w:w="936"/>
            <w:vAlign w:val="center"/>
            <w:tcMar>
              <w:top w:w="85" w:type="dxa"/>
              <w:left w:w="85" w:type="dxa"/>
              <w:bottom w:w="85" w:type="dxa"/>
              <w:right w:w="85" w:type="dxa"/>
            </w:tcMar>
            <w:shd w:fill="FFFFFF"/>
          </w:tcPr>
          <w:p>
            <w:pPr>
              <w:spacing w:after="40" w:before="20" w:line="252" w:lineRule="auto"/>
            </w:pPr>
            <w:r>
              <w:rPr>
                <w:rFonts w:ascii="Arial" w:hAnsi="Arial"/>
                <w:sz w:val="20"/>
              </w:rPr>
              <w:t>1:59</w:t>
            </w:r>
          </w:p>
        </w:tc>
        <w:tc>
          <w:tcPr>
            <w:tcW w:type="dxa" w:w="4536"/>
            <w:vAlign w:val="center"/>
            <w:tcMar>
              <w:top w:w="85" w:type="dxa"/>
              <w:left w:w="85" w:type="dxa"/>
              <w:bottom w:w="85" w:type="dxa"/>
              <w:right w:w="85" w:type="dxa"/>
            </w:tcMar>
            <w:shd w:fill="FFFFFF"/>
          </w:tcPr>
          <w:p>
            <w:pPr>
              <w:spacing w:after="40" w:before="20" w:line="252" w:lineRule="auto"/>
            </w:pPr>
            <w:r>
              <w:rPr>
                <w:rFonts w:ascii="Arial" w:hAnsi="Arial"/>
                <w:sz w:val="20"/>
              </w:rPr>
              <w:t>Observe the placement sequence with the clinician; practise only authorised tasks.</w:t>
            </w:r>
          </w:p>
        </w:tc>
      </w:tr>
      <w:tr>
        <w:trPr>
          <w:cantSplit/>
        </w:trPr>
        <w:tc>
          <w:tcPr>
            <w:tcW w:type="dxa" w:w="792"/>
            <w:vAlign w:val="center"/>
            <w:tcMar>
              <w:top w:w="85" w:type="dxa"/>
              <w:left w:w="85" w:type="dxa"/>
              <w:bottom w:w="85" w:type="dxa"/>
              <w:right w:w="85" w:type="dxa"/>
            </w:tcMar>
            <w:shd w:fill="F4F4F4"/>
          </w:tcPr>
          <w:p>
            <w:pPr>
              <w:spacing w:after="40" w:before="20" w:line="252" w:lineRule="auto"/>
              <w:jc w:val="center"/>
            </w:pPr>
            <w:r>
              <w:rPr>
                <w:rFonts w:ascii="Arial" w:hAnsi="Arial"/>
                <w:sz w:val="20"/>
              </w:rPr>
              <w:t>6</w:t>
            </w:r>
          </w:p>
        </w:tc>
        <w:tc>
          <w:tcPr>
            <w:tcW w:type="dxa" w:w="3816"/>
            <w:vAlign w:val="center"/>
            <w:tcMar>
              <w:top w:w="85" w:type="dxa"/>
              <w:left w:w="85" w:type="dxa"/>
              <w:bottom w:w="85" w:type="dxa"/>
              <w:right w:w="85" w:type="dxa"/>
            </w:tcMar>
            <w:shd w:fill="F4F4F4"/>
          </w:tcPr>
          <w:p>
            <w:pPr>
              <w:spacing w:after="40" w:before="20" w:line="252" w:lineRule="auto"/>
            </w:pPr>
            <w:hyperlink r:id="rId40">
              <w:r>
                <w:rPr>
                  <w:color w:val="205781"/>
                  <w:sz w:val="20"/>
                </w:rPr>
                <w:t>Crown Preparation Set Up</w:t>
              </w:r>
            </w:hyperlink>
          </w:p>
        </w:tc>
        <w:tc>
          <w:tcPr>
            <w:tcW w:type="dxa" w:w="936"/>
            <w:vAlign w:val="center"/>
            <w:tcMar>
              <w:top w:w="85" w:type="dxa"/>
              <w:left w:w="85" w:type="dxa"/>
              <w:bottom w:w="85" w:type="dxa"/>
              <w:right w:w="85" w:type="dxa"/>
            </w:tcMar>
            <w:shd w:fill="F4F4F4"/>
          </w:tcPr>
          <w:p>
            <w:pPr>
              <w:spacing w:after="40" w:before="20" w:line="252" w:lineRule="auto"/>
            </w:pPr>
            <w:r>
              <w:rPr>
                <w:rFonts w:ascii="Arial" w:hAnsi="Arial"/>
                <w:sz w:val="20"/>
              </w:rPr>
              <w:t>0:32</w:t>
            </w:r>
          </w:p>
        </w:tc>
        <w:tc>
          <w:tcPr>
            <w:tcW w:type="dxa" w:w="4536"/>
            <w:vAlign w:val="center"/>
            <w:tcMar>
              <w:top w:w="85" w:type="dxa"/>
              <w:left w:w="85" w:type="dxa"/>
              <w:bottom w:w="85" w:type="dxa"/>
              <w:right w:w="85" w:type="dxa"/>
            </w:tcMar>
            <w:shd w:fill="F4F4F4"/>
          </w:tcPr>
          <w:p>
            <w:pPr>
              <w:spacing w:after="40" w:before="20" w:line="252" w:lineRule="auto"/>
            </w:pPr>
            <w:r>
              <w:rPr>
                <w:rFonts w:ascii="Arial" w:hAnsi="Arial"/>
                <w:sz w:val="20"/>
              </w:rPr>
              <w:t>Recognise a crown preparation setup and explain the appointment stage.</w:t>
            </w:r>
          </w:p>
        </w:tc>
      </w:tr>
      <w:tr>
        <w:trPr>
          <w:cantSplit/>
        </w:trPr>
        <w:tc>
          <w:tcPr>
            <w:tcW w:type="dxa" w:w="792"/>
            <w:vAlign w:val="center"/>
            <w:tcMar>
              <w:top w:w="85" w:type="dxa"/>
              <w:left w:w="85" w:type="dxa"/>
              <w:bottom w:w="85" w:type="dxa"/>
              <w:right w:w="85" w:type="dxa"/>
            </w:tcMar>
            <w:shd w:fill="FFFFFF"/>
          </w:tcPr>
          <w:p>
            <w:pPr>
              <w:spacing w:after="40" w:before="20" w:line="252" w:lineRule="auto"/>
              <w:jc w:val="center"/>
            </w:pPr>
            <w:r>
              <w:rPr>
                <w:rFonts w:ascii="Arial" w:hAnsi="Arial"/>
                <w:sz w:val="20"/>
              </w:rPr>
              <w:t>7</w:t>
            </w:r>
          </w:p>
        </w:tc>
        <w:tc>
          <w:tcPr>
            <w:tcW w:type="dxa" w:w="3816"/>
            <w:vAlign w:val="center"/>
            <w:tcMar>
              <w:top w:w="85" w:type="dxa"/>
              <w:left w:w="85" w:type="dxa"/>
              <w:bottom w:w="85" w:type="dxa"/>
              <w:right w:w="85" w:type="dxa"/>
            </w:tcMar>
            <w:shd w:fill="FFFFFF"/>
          </w:tcPr>
          <w:p>
            <w:pPr>
              <w:spacing w:after="40" w:before="20" w:line="252" w:lineRule="auto"/>
            </w:pPr>
            <w:hyperlink r:id="rId41">
              <w:r>
                <w:rPr>
                  <w:color w:val="205781"/>
                  <w:sz w:val="20"/>
                </w:rPr>
                <w:t>Crown Fit Appointment</w:t>
              </w:r>
            </w:hyperlink>
          </w:p>
        </w:tc>
        <w:tc>
          <w:tcPr>
            <w:tcW w:type="dxa" w:w="936"/>
            <w:vAlign w:val="center"/>
            <w:tcMar>
              <w:top w:w="85" w:type="dxa"/>
              <w:left w:w="85" w:type="dxa"/>
              <w:bottom w:w="85" w:type="dxa"/>
              <w:right w:w="85" w:type="dxa"/>
            </w:tcMar>
            <w:shd w:fill="FFFFFF"/>
          </w:tcPr>
          <w:p>
            <w:pPr>
              <w:spacing w:after="40" w:before="20" w:line="252" w:lineRule="auto"/>
            </w:pPr>
            <w:r>
              <w:rPr>
                <w:rFonts w:ascii="Arial" w:hAnsi="Arial"/>
                <w:sz w:val="20"/>
              </w:rPr>
              <w:t>1:11</w:t>
            </w:r>
          </w:p>
        </w:tc>
        <w:tc>
          <w:tcPr>
            <w:tcW w:type="dxa" w:w="4536"/>
            <w:vAlign w:val="center"/>
            <w:tcMar>
              <w:top w:w="85" w:type="dxa"/>
              <w:left w:w="85" w:type="dxa"/>
              <w:bottom w:w="85" w:type="dxa"/>
              <w:right w:w="85" w:type="dxa"/>
            </w:tcMar>
            <w:shd w:fill="FFFFFF"/>
          </w:tcPr>
          <w:p>
            <w:pPr>
              <w:spacing w:after="40" w:before="20" w:line="252" w:lineRule="auto"/>
            </w:pPr>
            <w:r>
              <w:rPr>
                <w:rFonts w:ascii="Arial" w:hAnsi="Arial"/>
                <w:sz w:val="20"/>
              </w:rPr>
              <w:t>Compare fitting with preparation and identify the requested fitting items.</w:t>
            </w:r>
          </w:p>
        </w:tc>
      </w:tr>
      <w:tr>
        <w:trPr>
          <w:cantSplit/>
        </w:trPr>
        <w:tc>
          <w:tcPr>
            <w:tcW w:type="dxa" w:w="792"/>
            <w:vAlign w:val="center"/>
            <w:tcMar>
              <w:top w:w="85" w:type="dxa"/>
              <w:left w:w="85" w:type="dxa"/>
              <w:bottom w:w="85" w:type="dxa"/>
              <w:right w:w="85" w:type="dxa"/>
            </w:tcMar>
            <w:shd w:fill="F4F4F4"/>
          </w:tcPr>
          <w:p>
            <w:pPr>
              <w:spacing w:after="40" w:before="20" w:line="252" w:lineRule="auto"/>
              <w:jc w:val="center"/>
            </w:pPr>
            <w:r>
              <w:rPr>
                <w:rFonts w:ascii="Arial" w:hAnsi="Arial"/>
                <w:sz w:val="20"/>
              </w:rPr>
              <w:t>8</w:t>
            </w:r>
          </w:p>
        </w:tc>
        <w:tc>
          <w:tcPr>
            <w:tcW w:type="dxa" w:w="3816"/>
            <w:vAlign w:val="center"/>
            <w:tcMar>
              <w:top w:w="85" w:type="dxa"/>
              <w:left w:w="85" w:type="dxa"/>
              <w:bottom w:w="85" w:type="dxa"/>
              <w:right w:w="85" w:type="dxa"/>
            </w:tcMar>
            <w:shd w:fill="F4F4F4"/>
          </w:tcPr>
          <w:p>
            <w:pPr>
              <w:spacing w:after="40" w:before="20" w:line="252" w:lineRule="auto"/>
            </w:pPr>
            <w:hyperlink r:id="rId42">
              <w:r>
                <w:rPr>
                  <w:color w:val="205781"/>
                  <w:sz w:val="20"/>
                </w:rPr>
                <w:t>Crown Fit - Riva Luting Plus Cement</w:t>
              </w:r>
            </w:hyperlink>
          </w:p>
        </w:tc>
        <w:tc>
          <w:tcPr>
            <w:tcW w:type="dxa" w:w="936"/>
            <w:vAlign w:val="center"/>
            <w:tcMar>
              <w:top w:w="85" w:type="dxa"/>
              <w:left w:w="85" w:type="dxa"/>
              <w:bottom w:w="85" w:type="dxa"/>
              <w:right w:w="85" w:type="dxa"/>
            </w:tcMar>
            <w:shd w:fill="F4F4F4"/>
          </w:tcPr>
          <w:p>
            <w:pPr>
              <w:spacing w:after="40" w:before="20" w:line="252" w:lineRule="auto"/>
            </w:pPr>
            <w:r>
              <w:rPr>
                <w:rFonts w:ascii="Arial" w:hAnsi="Arial"/>
                <w:sz w:val="20"/>
              </w:rPr>
              <w:t>0:41</w:t>
            </w:r>
          </w:p>
        </w:tc>
        <w:tc>
          <w:tcPr>
            <w:tcW w:type="dxa" w:w="4536"/>
            <w:vAlign w:val="center"/>
            <w:tcMar>
              <w:top w:w="85" w:type="dxa"/>
              <w:left w:w="85" w:type="dxa"/>
              <w:bottom w:w="85" w:type="dxa"/>
              <w:right w:w="85" w:type="dxa"/>
            </w:tcMar>
            <w:shd w:fill="F4F4F4"/>
          </w:tcPr>
          <w:p>
            <w:pPr>
              <w:spacing w:after="40" w:before="20" w:line="252" w:lineRule="auto"/>
            </w:pPr>
            <w:r>
              <w:rPr>
                <w:rFonts w:ascii="Arial" w:hAnsi="Arial"/>
                <w:sz w:val="20"/>
              </w:rPr>
              <w:t>Identify this named luting product; confirm the current local cement instructions.</w:t>
            </w:r>
          </w:p>
        </w:tc>
      </w:tr>
      <w:tr>
        <w:trPr>
          <w:cantSplit/>
        </w:trPr>
        <w:tc>
          <w:tcPr>
            <w:tcW w:type="dxa" w:w="792"/>
            <w:vAlign w:val="center"/>
            <w:tcMar>
              <w:top w:w="85" w:type="dxa"/>
              <w:left w:w="85" w:type="dxa"/>
              <w:bottom w:w="85" w:type="dxa"/>
              <w:right w:w="85" w:type="dxa"/>
            </w:tcMar>
            <w:shd w:fill="FFFFFF"/>
          </w:tcPr>
          <w:p>
            <w:pPr>
              <w:spacing w:after="40" w:before="20" w:line="252" w:lineRule="auto"/>
              <w:jc w:val="center"/>
            </w:pPr>
            <w:r>
              <w:rPr>
                <w:rFonts w:ascii="Arial" w:hAnsi="Arial"/>
                <w:sz w:val="20"/>
              </w:rPr>
              <w:t>9</w:t>
            </w:r>
          </w:p>
        </w:tc>
        <w:tc>
          <w:tcPr>
            <w:tcW w:type="dxa" w:w="3816"/>
            <w:vAlign w:val="center"/>
            <w:tcMar>
              <w:top w:w="85" w:type="dxa"/>
              <w:left w:w="85" w:type="dxa"/>
              <w:bottom w:w="85" w:type="dxa"/>
              <w:right w:w="85" w:type="dxa"/>
            </w:tcMar>
            <w:shd w:fill="FFFFFF"/>
          </w:tcPr>
          <w:p>
            <w:pPr>
              <w:spacing w:after="40" w:before="20" w:line="252" w:lineRule="auto"/>
            </w:pPr>
            <w:hyperlink r:id="rId43">
              <w:r>
                <w:rPr>
                  <w:color w:val="205781"/>
                  <w:sz w:val="20"/>
                </w:rPr>
                <w:t>Extraction Tray Set Up</w:t>
              </w:r>
            </w:hyperlink>
          </w:p>
        </w:tc>
        <w:tc>
          <w:tcPr>
            <w:tcW w:type="dxa" w:w="936"/>
            <w:vAlign w:val="center"/>
            <w:tcMar>
              <w:top w:w="85" w:type="dxa"/>
              <w:left w:w="85" w:type="dxa"/>
              <w:bottom w:w="85" w:type="dxa"/>
              <w:right w:w="85" w:type="dxa"/>
            </w:tcMar>
            <w:shd w:fill="FFFFFF"/>
          </w:tcPr>
          <w:p>
            <w:pPr>
              <w:spacing w:after="40" w:before="20" w:line="252" w:lineRule="auto"/>
            </w:pPr>
            <w:r>
              <w:rPr>
                <w:rFonts w:ascii="Arial" w:hAnsi="Arial"/>
                <w:sz w:val="20"/>
              </w:rPr>
              <w:t>0:28</w:t>
            </w:r>
          </w:p>
        </w:tc>
        <w:tc>
          <w:tcPr>
            <w:tcW w:type="dxa" w:w="4536"/>
            <w:vAlign w:val="center"/>
            <w:tcMar>
              <w:top w:w="85" w:type="dxa"/>
              <w:left w:w="85" w:type="dxa"/>
              <w:bottom w:w="85" w:type="dxa"/>
              <w:right w:w="85" w:type="dxa"/>
            </w:tcMar>
            <w:shd w:fill="FFFFFF"/>
          </w:tcPr>
          <w:p>
            <w:pPr>
              <w:spacing w:after="40" w:before="20" w:line="252" w:lineRule="auto"/>
            </w:pPr>
            <w:r>
              <w:rPr>
                <w:rFonts w:ascii="Arial" w:hAnsi="Arial"/>
                <w:sz w:val="20"/>
              </w:rPr>
              <w:t>Name the selected instruments and safe handling precautions.</w:t>
            </w:r>
          </w:p>
        </w:tc>
      </w:tr>
      <w:tr>
        <w:trPr>
          <w:cantSplit/>
        </w:trPr>
        <w:tc>
          <w:tcPr>
            <w:tcW w:type="dxa" w:w="792"/>
            <w:vAlign w:val="center"/>
            <w:tcMar>
              <w:top w:w="85" w:type="dxa"/>
              <w:left w:w="85" w:type="dxa"/>
              <w:bottom w:w="85" w:type="dxa"/>
              <w:right w:w="85" w:type="dxa"/>
            </w:tcMar>
            <w:shd w:fill="F4F4F4"/>
          </w:tcPr>
          <w:p>
            <w:pPr>
              <w:spacing w:after="40" w:before="20" w:line="252" w:lineRule="auto"/>
              <w:jc w:val="center"/>
            </w:pPr>
            <w:r>
              <w:rPr>
                <w:rFonts w:ascii="Arial" w:hAnsi="Arial"/>
                <w:sz w:val="20"/>
              </w:rPr>
              <w:t>10</w:t>
            </w:r>
          </w:p>
        </w:tc>
        <w:tc>
          <w:tcPr>
            <w:tcW w:type="dxa" w:w="3816"/>
            <w:vAlign w:val="center"/>
            <w:tcMar>
              <w:top w:w="85" w:type="dxa"/>
              <w:left w:w="85" w:type="dxa"/>
              <w:bottom w:w="85" w:type="dxa"/>
              <w:right w:w="85" w:type="dxa"/>
            </w:tcMar>
            <w:shd w:fill="F4F4F4"/>
          </w:tcPr>
          <w:p>
            <w:pPr>
              <w:spacing w:after="40" w:before="20" w:line="252" w:lineRule="auto"/>
            </w:pPr>
            <w:hyperlink r:id="rId44">
              <w:r>
                <w:rPr>
                  <w:color w:val="205781"/>
                  <w:sz w:val="20"/>
                </w:rPr>
                <w:t>Root Canal Treatment Stage One</w:t>
              </w:r>
            </w:hyperlink>
          </w:p>
        </w:tc>
        <w:tc>
          <w:tcPr>
            <w:tcW w:type="dxa" w:w="936"/>
            <w:vAlign w:val="center"/>
            <w:tcMar>
              <w:top w:w="85" w:type="dxa"/>
              <w:left w:w="85" w:type="dxa"/>
              <w:bottom w:w="85" w:type="dxa"/>
              <w:right w:w="85" w:type="dxa"/>
            </w:tcMar>
            <w:shd w:fill="F4F4F4"/>
          </w:tcPr>
          <w:p>
            <w:pPr>
              <w:spacing w:after="40" w:before="20" w:line="252" w:lineRule="auto"/>
            </w:pPr>
            <w:r>
              <w:rPr>
                <w:rFonts w:ascii="Arial" w:hAnsi="Arial"/>
                <w:sz w:val="20"/>
              </w:rPr>
              <w:t>0:37</w:t>
            </w:r>
          </w:p>
        </w:tc>
        <w:tc>
          <w:tcPr>
            <w:tcW w:type="dxa" w:w="4536"/>
            <w:vAlign w:val="center"/>
            <w:tcMar>
              <w:top w:w="85" w:type="dxa"/>
              <w:left w:w="85" w:type="dxa"/>
              <w:bottom w:w="85" w:type="dxa"/>
              <w:right w:w="85" w:type="dxa"/>
            </w:tcMar>
            <w:shd w:fill="F4F4F4"/>
          </w:tcPr>
          <w:p>
            <w:pPr>
              <w:spacing w:after="40" w:before="20" w:line="252" w:lineRule="auto"/>
            </w:pPr>
            <w:r>
              <w:rPr>
                <w:rFonts w:ascii="Arial" w:hAnsi="Arial"/>
                <w:sz w:val="20"/>
              </w:rPr>
              <w:t>Recognise the first-stage setup and distinguish it from completed RCT.</w:t>
            </w:r>
          </w:p>
        </w:tc>
      </w:tr>
    </w:tbl>
    <w:p>
      <w:pPr>
        <w:spacing w:after="0"/>
      </w:pPr>
      <w:r>
        <w:rPr>
          <w:b w:val="0"/>
        </w:rPr>
      </w:r>
    </w:p>
    <w:p>
      <w:pPr>
        <w:pStyle w:val="Heading2"/>
      </w:pPr>
      <w:r>
        <w:t>Use the clips actively</w:t>
      </w:r>
    </w:p>
    <w:p>
      <w:r>
        <w:rPr>
          <w:b/>
        </w:rPr>
        <w:t xml:space="preserve">1 </w:t>
      </w:r>
      <w:r>
        <w:t>Say which treatment and appointment stage the clip supports.</w:t>
      </w:r>
    </w:p>
    <w:p>
      <w:r>
        <w:rPr>
          <w:b/>
        </w:rPr>
        <w:t xml:space="preserve">2 </w:t>
      </w:r>
      <w:r>
        <w:t>Identify the visible instruments and materials with the trainer.</w:t>
      </w:r>
    </w:p>
    <w:p>
      <w:r>
        <w:rPr>
          <w:b/>
        </w:rPr>
        <w:t xml:space="preserve">3 </w:t>
      </w:r>
      <w:r>
        <w:t>Compare them with the current approved local tray and product instructions.</w:t>
      </w:r>
    </w:p>
    <w:p>
      <w:r>
        <w:rPr>
          <w:b/>
        </w:rPr>
        <w:t xml:space="preserve">4 </w:t>
      </w:r>
      <w:r>
        <w:t>Set out the clean items in simulation and explain their purpose and hazards.</w:t>
      </w:r>
    </w:p>
    <w:p>
      <w:r>
        <w:rPr>
          <w:b w:val="0"/>
        </w:rPr>
        <w:t>For composite, the trainer should demonstrate the current bonding system, restorative material and curing equipment used locally, alongside the filling-material explanation in this manual.</w:t>
      </w:r>
    </w:p>
    <w:p>
      <w:pPr>
        <w:spacing w:after="140"/>
      </w:pPr>
      <w:hyperlink r:id="rId45">
        <w:r>
          <w:rPr>
            <w:color w:val="205781"/>
            <w:sz w:val="20"/>
          </w:rPr>
          <w:t>Sami Butt YouTube channel</w:t>
        </w:r>
      </w:hyperlink>
    </w:p>
    <w:p>
      <w:pPr>
        <w:pStyle w:val="Heading1"/>
        <w:pageBreakBefore/>
      </w:pPr>
      <w:r>
        <w:t>Ad hoc surgery and equipment training</w:t>
      </w:r>
    </w:p>
    <w:p>
      <w:r>
        <w:rPr>
          <w:b w:val="0"/>
        </w:rPr>
        <w:t>Teach equipment in practical sessions when the device or task is introduced. The timing of teaching is flexible; required checks, cleaning and maintenance still follow the manufacturer’s schedule and the local procedure.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4104"/>
        <w:gridCol w:w="3960"/>
      </w:tblGrid>
      <w:tr>
        <w:trPr>
          <w:tblHeader/>
          <w:cantSplit/>
        </w:trPr>
        <w:tc>
          <w:tcPr>
            <w:tcW w:type="dxa" w:w="2016"/>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Teaching opportunity</w:t>
            </w:r>
          </w:p>
        </w:tc>
        <w:tc>
          <w:tcPr>
            <w:tcW w:type="dxa" w:w="4104"/>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What to demonstrate</w:t>
            </w:r>
          </w:p>
        </w:tc>
        <w:tc>
          <w:tcPr>
            <w:tcW w:type="dxa" w:w="3960"/>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What the learner shows</w:t>
            </w:r>
          </w:p>
        </w:tc>
      </w:tr>
      <w:tr>
        <w:trPr>
          <w:cantSplit/>
        </w:trPr>
        <w:tc>
          <w:tcPr>
            <w:tcW w:type="dxa" w:w="2016"/>
            <w:vAlign w:val="center"/>
            <w:tcMar>
              <w:top w:w="85" w:type="dxa"/>
              <w:left w:w="85" w:type="dxa"/>
              <w:bottom w:w="85" w:type="dxa"/>
              <w:right w:w="85" w:type="dxa"/>
            </w:tcMar>
            <w:shd w:fill="FFFFFF"/>
          </w:tcPr>
          <w:p>
            <w:pPr>
              <w:spacing w:after="40" w:before="20" w:line="252" w:lineRule="auto"/>
              <w:jc w:val="center"/>
            </w:pPr>
            <w:r>
              <w:rPr>
                <w:rFonts w:ascii="Arial" w:hAnsi="Arial"/>
                <w:sz w:val="20"/>
              </w:rPr>
              <w:t>First use of a surgery</w:t>
            </w:r>
          </w:p>
        </w:tc>
        <w:tc>
          <w:tcPr>
            <w:tcW w:type="dxa" w:w="4104"/>
            <w:vAlign w:val="center"/>
            <w:tcMar>
              <w:top w:w="85" w:type="dxa"/>
              <w:left w:w="85" w:type="dxa"/>
              <w:bottom w:w="85" w:type="dxa"/>
              <w:right w:w="85" w:type="dxa"/>
            </w:tcMar>
            <w:shd w:fill="FFFFFF"/>
          </w:tcPr>
          <w:p>
            <w:pPr>
              <w:spacing w:after="40" w:before="20" w:line="252" w:lineRule="auto"/>
            </w:pPr>
            <w:r>
              <w:rPr>
                <w:rFonts w:ascii="Arial" w:hAnsi="Arial"/>
                <w:sz w:val="20"/>
              </w:rPr>
              <w:t>Equipment identity, power and water controls, safe placement, storage and fault contacts.</w:t>
            </w:r>
          </w:p>
        </w:tc>
        <w:tc>
          <w:tcPr>
            <w:tcW w:type="dxa" w:w="3960"/>
            <w:vAlign w:val="center"/>
            <w:tcMar>
              <w:top w:w="85" w:type="dxa"/>
              <w:left w:w="85" w:type="dxa"/>
              <w:bottom w:w="85" w:type="dxa"/>
              <w:right w:w="85" w:type="dxa"/>
            </w:tcMar>
            <w:shd w:fill="FFFFFF"/>
          </w:tcPr>
          <w:p>
            <w:pPr>
              <w:spacing w:after="40" w:before="20" w:line="252" w:lineRule="auto"/>
            </w:pPr>
            <w:r>
              <w:rPr>
                <w:rFonts w:ascii="Arial" w:hAnsi="Arial"/>
                <w:sz w:val="20"/>
              </w:rPr>
              <w:t>Finds the correct instructions and knows when to stop and seek help.</w:t>
            </w:r>
          </w:p>
        </w:tc>
      </w:tr>
      <w:tr>
        <w:trPr>
          <w:cantSplit/>
        </w:trPr>
        <w:tc>
          <w:tcPr>
            <w:tcW w:type="dxa" w:w="2016"/>
            <w:vAlign w:val="center"/>
            <w:tcMar>
              <w:top w:w="85" w:type="dxa"/>
              <w:left w:w="85" w:type="dxa"/>
              <w:bottom w:w="85" w:type="dxa"/>
              <w:right w:w="85" w:type="dxa"/>
            </w:tcMar>
            <w:shd w:fill="F4F4F4"/>
          </w:tcPr>
          <w:p>
            <w:pPr>
              <w:spacing w:after="40" w:before="20" w:line="252" w:lineRule="auto"/>
              <w:jc w:val="center"/>
            </w:pPr>
            <w:r>
              <w:rPr>
                <w:rFonts w:ascii="Arial" w:hAnsi="Arial"/>
                <w:sz w:val="20"/>
              </w:rPr>
              <w:t>Opening or closing</w:t>
            </w:r>
          </w:p>
        </w:tc>
        <w:tc>
          <w:tcPr>
            <w:tcW w:type="dxa" w:w="4104"/>
            <w:vAlign w:val="center"/>
            <w:tcMar>
              <w:top w:w="85" w:type="dxa"/>
              <w:left w:w="85" w:type="dxa"/>
              <w:bottom w:w="85" w:type="dxa"/>
              <w:right w:w="85" w:type="dxa"/>
            </w:tcMar>
            <w:shd w:fill="F4F4F4"/>
          </w:tcPr>
          <w:p>
            <w:pPr>
              <w:spacing w:after="40" w:before="20" w:line="252" w:lineRule="auto"/>
            </w:pPr>
            <w:r>
              <w:rPr>
                <w:rFonts w:ascii="Arial" w:hAnsi="Arial"/>
                <w:sz w:val="20"/>
              </w:rPr>
              <w:t>The actual unit’s checks, suction and waterline routines, required logs and shutdown sequence.</w:t>
            </w:r>
          </w:p>
        </w:tc>
        <w:tc>
          <w:tcPr>
            <w:tcW w:type="dxa" w:w="3960"/>
            <w:vAlign w:val="center"/>
            <w:tcMar>
              <w:top w:w="85" w:type="dxa"/>
              <w:left w:w="85" w:type="dxa"/>
              <w:bottom w:w="85" w:type="dxa"/>
              <w:right w:w="85" w:type="dxa"/>
            </w:tcMar>
            <w:shd w:fill="F4F4F4"/>
          </w:tcPr>
          <w:p>
            <w:pPr>
              <w:spacing w:after="40" w:before="20" w:line="252" w:lineRule="auto"/>
            </w:pPr>
            <w:r>
              <w:rPr>
                <w:rFonts w:ascii="Arial" w:hAnsi="Arial"/>
                <w:sz w:val="20"/>
              </w:rPr>
              <w:t>Performs only the taught checks and reports missing or failed results.</w:t>
            </w:r>
          </w:p>
        </w:tc>
      </w:tr>
      <w:tr>
        <w:trPr>
          <w:cantSplit/>
        </w:trPr>
        <w:tc>
          <w:tcPr>
            <w:tcW w:type="dxa" w:w="2016"/>
            <w:vAlign w:val="center"/>
            <w:tcMar>
              <w:top w:w="85" w:type="dxa"/>
              <w:left w:w="85" w:type="dxa"/>
              <w:bottom w:w="85" w:type="dxa"/>
              <w:right w:w="85" w:type="dxa"/>
            </w:tcMar>
            <w:shd w:fill="FFFFFF"/>
          </w:tcPr>
          <w:p>
            <w:pPr>
              <w:spacing w:after="40" w:before="20" w:line="252" w:lineRule="auto"/>
              <w:jc w:val="center"/>
            </w:pPr>
            <w:r>
              <w:rPr>
                <w:rFonts w:ascii="Arial" w:hAnsi="Arial"/>
                <w:sz w:val="20"/>
              </w:rPr>
              <w:t>Between patients</w:t>
            </w:r>
          </w:p>
        </w:tc>
        <w:tc>
          <w:tcPr>
            <w:tcW w:type="dxa" w:w="4104"/>
            <w:vAlign w:val="center"/>
            <w:tcMar>
              <w:top w:w="85" w:type="dxa"/>
              <w:left w:w="85" w:type="dxa"/>
              <w:bottom w:w="85" w:type="dxa"/>
              <w:right w:w="85" w:type="dxa"/>
            </w:tcMar>
            <w:shd w:fill="FFFFFF"/>
          </w:tcPr>
          <w:p>
            <w:pPr>
              <w:spacing w:after="40" w:before="20" w:line="252" w:lineRule="auto"/>
            </w:pPr>
            <w:r>
              <w:rPr>
                <w:rFonts w:ascii="Arial" w:hAnsi="Arial"/>
                <w:sz w:val="20"/>
              </w:rPr>
              <w:t>Surface cleaning, barriers, instrument flow and component-specific reprocessing.</w:t>
            </w:r>
          </w:p>
        </w:tc>
        <w:tc>
          <w:tcPr>
            <w:tcW w:type="dxa" w:w="3960"/>
            <w:vAlign w:val="center"/>
            <w:tcMar>
              <w:top w:w="85" w:type="dxa"/>
              <w:left w:w="85" w:type="dxa"/>
              <w:bottom w:w="85" w:type="dxa"/>
              <w:right w:w="85" w:type="dxa"/>
            </w:tcMar>
            <w:shd w:fill="FFFFFF"/>
          </w:tcPr>
          <w:p>
            <w:pPr>
              <w:spacing w:after="40" w:before="20" w:line="252" w:lineRule="auto"/>
            </w:pPr>
            <w:r>
              <w:rPr>
                <w:rFonts w:ascii="Arial" w:hAnsi="Arial"/>
                <w:sz w:val="20"/>
              </w:rPr>
              <w:t>Keeps clean and contaminated items separate and recognises an uncertain processing status.</w:t>
            </w:r>
          </w:p>
        </w:tc>
      </w:tr>
      <w:tr>
        <w:trPr>
          <w:cantSplit/>
        </w:trPr>
        <w:tc>
          <w:tcPr>
            <w:tcW w:type="dxa" w:w="2016"/>
            <w:vAlign w:val="center"/>
            <w:tcMar>
              <w:top w:w="85" w:type="dxa"/>
              <w:left w:w="85" w:type="dxa"/>
              <w:bottom w:w="85" w:type="dxa"/>
              <w:right w:w="85" w:type="dxa"/>
            </w:tcMar>
            <w:shd w:fill="F4F4F4"/>
          </w:tcPr>
          <w:p>
            <w:pPr>
              <w:spacing w:after="40" w:before="20" w:line="252" w:lineRule="auto"/>
              <w:jc w:val="center"/>
            </w:pPr>
            <w:r>
              <w:rPr>
                <w:rFonts w:ascii="Arial" w:hAnsi="Arial"/>
                <w:sz w:val="20"/>
              </w:rPr>
              <w:t>New material or handpiece</w:t>
            </w:r>
          </w:p>
        </w:tc>
        <w:tc>
          <w:tcPr>
            <w:tcW w:type="dxa" w:w="4104"/>
            <w:vAlign w:val="center"/>
            <w:tcMar>
              <w:top w:w="85" w:type="dxa"/>
              <w:left w:w="85" w:type="dxa"/>
              <w:bottom w:w="85" w:type="dxa"/>
              <w:right w:w="85" w:type="dxa"/>
            </w:tcMar>
            <w:shd w:fill="F4F4F4"/>
          </w:tcPr>
          <w:p>
            <w:pPr>
              <w:spacing w:after="40" w:before="20" w:line="252" w:lineRule="auto"/>
            </w:pPr>
            <w:r>
              <w:rPr>
                <w:rFonts w:ascii="Arial" w:hAnsi="Arial"/>
                <w:sz w:val="20"/>
              </w:rPr>
              <w:t>The exact product, compatibility, expiry, preparation and care instructions.</w:t>
            </w:r>
          </w:p>
        </w:tc>
        <w:tc>
          <w:tcPr>
            <w:tcW w:type="dxa" w:w="3960"/>
            <w:vAlign w:val="center"/>
            <w:tcMar>
              <w:top w:w="85" w:type="dxa"/>
              <w:left w:w="85" w:type="dxa"/>
              <w:bottom w:w="85" w:type="dxa"/>
              <w:right w:w="85" w:type="dxa"/>
            </w:tcMar>
            <w:shd w:fill="F4F4F4"/>
          </w:tcPr>
          <w:p>
            <w:pPr>
              <w:spacing w:after="40" w:before="20" w:line="252" w:lineRule="auto"/>
            </w:pPr>
            <w:r>
              <w:rPr>
                <w:rFonts w:ascii="Arial" w:hAnsi="Arial"/>
                <w:sz w:val="20"/>
              </w:rPr>
              <w:t>Identifies the product and follows the demonstrated method without substitution.</w:t>
            </w:r>
          </w:p>
        </w:tc>
      </w:tr>
      <w:tr>
        <w:trPr>
          <w:cantSplit/>
        </w:trPr>
        <w:tc>
          <w:tcPr>
            <w:tcW w:type="dxa" w:w="2016"/>
            <w:vAlign w:val="center"/>
            <w:tcMar>
              <w:top w:w="85" w:type="dxa"/>
              <w:left w:w="85" w:type="dxa"/>
              <w:bottom w:w="85" w:type="dxa"/>
              <w:right w:w="85" w:type="dxa"/>
            </w:tcMar>
            <w:shd w:fill="FFFFFF"/>
          </w:tcPr>
          <w:p>
            <w:pPr>
              <w:spacing w:after="40" w:before="20" w:line="252" w:lineRule="auto"/>
              <w:jc w:val="center"/>
            </w:pPr>
            <w:r>
              <w:rPr>
                <w:rFonts w:ascii="Arial" w:hAnsi="Arial"/>
                <w:sz w:val="20"/>
              </w:rPr>
              <w:t>A fault or failed cycle</w:t>
            </w:r>
          </w:p>
        </w:tc>
        <w:tc>
          <w:tcPr>
            <w:tcW w:type="dxa" w:w="4104"/>
            <w:vAlign w:val="center"/>
            <w:tcMar>
              <w:top w:w="85" w:type="dxa"/>
              <w:left w:w="85" w:type="dxa"/>
              <w:bottom w:w="85" w:type="dxa"/>
              <w:right w:w="85" w:type="dxa"/>
            </w:tcMar>
            <w:shd w:fill="FFFFFF"/>
          </w:tcPr>
          <w:p>
            <w:pPr>
              <w:spacing w:after="40" w:before="20" w:line="252" w:lineRule="auto"/>
            </w:pPr>
            <w:r>
              <w:rPr>
                <w:rFonts w:ascii="Arial" w:hAnsi="Arial"/>
                <w:sz w:val="20"/>
              </w:rPr>
              <w:t>Stop, isolate safely, label, report and record according to the local procedure.</w:t>
            </w:r>
          </w:p>
        </w:tc>
        <w:tc>
          <w:tcPr>
            <w:tcW w:type="dxa" w:w="3960"/>
            <w:vAlign w:val="center"/>
            <w:tcMar>
              <w:top w:w="85" w:type="dxa"/>
              <w:left w:w="85" w:type="dxa"/>
              <w:bottom w:w="85" w:type="dxa"/>
              <w:right w:w="85" w:type="dxa"/>
            </w:tcMar>
            <w:shd w:fill="FFFFFF"/>
          </w:tcPr>
          <w:p>
            <w:pPr>
              <w:spacing w:after="40" w:before="20" w:line="252" w:lineRule="auto"/>
            </w:pPr>
            <w:r>
              <w:rPr>
                <w:rFonts w:ascii="Arial" w:hAnsi="Arial"/>
                <w:sz w:val="20"/>
              </w:rPr>
              <w:t>Does not improvise a repair or return equipment to use without authorisation.</w:t>
            </w:r>
          </w:p>
        </w:tc>
      </w:tr>
    </w:tbl>
    <w:p>
      <w:pPr>
        <w:spacing w:after="0"/>
      </w:pPr>
      <w:r>
        <w:rPr>
          <w:b w:val="0"/>
        </w:rPr>
      </w:r>
    </w:p>
    <w:p>
      <w:pPr>
        <w:pStyle w:val="Heading2"/>
      </w:pPr>
      <w:r>
        <w:t>Demonstrate one defined task at a time</w:t>
      </w:r>
    </w:p>
    <w:p>
      <w:r>
        <w:rPr>
          <w:b w:val="0"/>
        </w:rPr>
        <w:t>Identify the model and current instructions. Explain the purpose and hazards. Watch a relevant manufacturer resource, see the trainer demonstrate, practise in an appropriate setting and complete a return demonstration. Record the exact task and supervision required.</w:t>
      </w:r>
    </w:p>
    <w:p>
      <w:pPr>
        <w:pStyle w:val="Heading2"/>
      </w:pPr>
      <w:r>
        <w:t>Water and chemical maintenance</w:t>
      </w:r>
    </w:p>
    <w:p>
      <w:r>
        <w:rPr>
          <w:b w:val="0"/>
        </w:rPr>
        <w:t>Use the applicable S3 procedure and device instructions. Keep a unit undergoing chemical maintenance clearly marked and out of clinical use until the full required process and return-to-use checks are complete. Distinguish routine flushing from a chemical cycle. Never guess bottle contents or substitute one device’s procedure for another.</w:t>
      </w:r>
    </w:p>
    <w:p>
      <w:r>
        <w:rPr>
          <w:b w:val="0"/>
        </w:rPr>
        <w:t>Do not operate, reset or release an autoclave, washer, compressor or other equipment merely because you have observed it. Each task needs its own teaching and authorisation. Electrical and internal repairs belong to the authorised service team.</w:t>
      </w:r>
    </w:p>
    <w:p>
      <w:pPr>
        <w:spacing w:after="140"/>
      </w:pPr>
      <w:r>
        <w:t xml:space="preserve">Read: </w:t>
      </w:r>
      <w:hyperlink r:id="rId46">
        <w:r>
          <w:rPr>
            <w:color w:val="205781"/>
            <w:sz w:val="20"/>
          </w:rPr>
          <w:t>NHS England decontamination guidance for dental practices</w:t>
        </w:r>
      </w:hyperlink>
    </w:p>
    <w:p>
      <w:pPr>
        <w:pStyle w:val="Heading1"/>
        <w:pageBreakBefore/>
      </w:pPr>
      <w:r>
        <w:t>3Shape TRIOS scanning basics</w:t>
      </w:r>
    </w:p>
    <w:p>
      <w:r>
        <w:rPr>
          <w:b w:val="0"/>
        </w:rPr>
        <w:t>An intraoral scanner captures optical images that software combines into a digital surface model of the teeth and surrounding visible tissues. The 3D surface scan does not replace dental radiographs. A scan may support work such as a crown or other appliance, as prescribed by the clinician.</w:t>
      </w:r>
    </w:p>
    <w:p>
      <w:pPr>
        <w:pStyle w:val="Heading2"/>
      </w:pPr>
      <w:r>
        <w:t>Start on a model</w:t>
      </w:r>
    </w:p>
    <w:p>
      <w:r>
        <w:rPr>
          <w:b/>
        </w:rPr>
        <w:t xml:space="preserve">1 </w:t>
      </w:r>
      <w:r>
        <w:t>Identify the scanner model, tip type, software and wired or wireless arrangement. Learn safe handling, the holder and how to avoid drops or cable strain.</w:t>
      </w:r>
    </w:p>
    <w:p>
      <w:r>
        <w:rPr>
          <w:b/>
        </w:rPr>
        <w:t xml:space="preserve">2 </w:t>
      </w:r>
      <w:r>
        <w:t>Confirm a ready-for-use tip, the required checks and any calibration prompt. Open an authorised training case with the correct exercise details.</w:t>
      </w:r>
    </w:p>
    <w:p>
      <w:r>
        <w:rPr>
          <w:b/>
        </w:rPr>
        <w:t xml:space="preserve">3 </w:t>
      </w:r>
      <w:r>
        <w:t>Follow the manufacturer’s scan strategy for that model to capture an upper arch and a lower arch.</w:t>
      </w:r>
    </w:p>
    <w:p>
      <w:r>
        <w:rPr>
          <w:b/>
        </w:rPr>
        <w:t xml:space="preserve">4 </w:t>
      </w:r>
      <w:r>
        <w:t>Learn how a bite scan records how the arches meet. Observe the trainer checking the alignment.</w:t>
      </w:r>
    </w:p>
    <w:p>
      <w:r>
        <w:rPr>
          <w:b/>
        </w:rPr>
        <w:t xml:space="preserve">5 </w:t>
      </w:r>
      <w:r>
        <w:t>Use the display to recognise gaps, unwanted soft-tissue capture and a loss of tracking. Pause and ask the trainer how to recover or recapture.</w:t>
      </w:r>
    </w:p>
    <w:p>
      <w:r>
        <w:rPr>
          <w:b/>
        </w:rPr>
        <w:t xml:space="preserve">6 </w:t>
      </w:r>
      <w:r>
        <w:t>Let the trainer confirm completeness. Learn the authorised saving and case-labelling process; do not send a training case to a laboratory as patient work.</w:t>
      </w:r>
    </w:p>
    <w:p>
      <w:pPr>
        <w:pStyle w:val="Heading2"/>
      </w:pPr>
      <w:r>
        <w:t>During a patient scanning appointment</w:t>
      </w:r>
    </w:p>
    <w:p>
      <w:r>
        <w:rPr>
          <w:b w:val="0"/>
        </w:rPr>
        <w:t>Initially observe or assist with preparation, suction or other taught tasks. Actual patient scanning requires a separate decision about the learner’s role, training, competence, consent, insurance and supervision. The clinician prescribes the scan, confirms its clinical suitability and authorises sending it to a laboratory.</w:t>
      </w:r>
    </w:p>
    <w:p>
      <w:r>
        <w:rPr>
          <w:b/>
        </w:rPr>
        <w:t xml:space="preserve">Return demonstration </w:t>
      </w:r>
      <w:r>
        <w:t>Handle the scanner safely, identify upper and lower arches, explain why a bite is needed, capture a model exercise and recognise when help is needed.</w:t>
      </w:r>
    </w:p>
    <w:p>
      <w:pPr>
        <w:pStyle w:val="Heading2"/>
      </w:pPr>
      <w:r>
        <w:t>Manufacturer learning resources</w:t>
      </w:r>
    </w:p>
    <w:p>
      <w:pPr>
        <w:spacing w:after="140"/>
      </w:pPr>
      <w:hyperlink r:id="rId47">
        <w:r>
          <w:rPr>
            <w:color w:val="205781"/>
            <w:sz w:val="20"/>
          </w:rPr>
          <w:t>TRIOS 3 training</w:t>
        </w:r>
      </w:hyperlink>
    </w:p>
    <w:p>
      <w:pPr>
        <w:spacing w:after="140"/>
      </w:pPr>
      <w:hyperlink r:id="rId48">
        <w:r>
          <w:rPr>
            <w:color w:val="205781"/>
            <w:sz w:val="20"/>
          </w:rPr>
          <w:t>Scanning a full arch with TRIOS 3 and 4</w:t>
        </w:r>
      </w:hyperlink>
    </w:p>
    <w:p>
      <w:pPr>
        <w:spacing w:after="140"/>
      </w:pPr>
      <w:hyperlink r:id="rId49">
        <w:r>
          <w:rPr>
            <w:color w:val="205781"/>
            <w:sz w:val="20"/>
          </w:rPr>
          <w:t>Scanning the bite with TRIOS 3 and 4</w:t>
        </w:r>
      </w:hyperlink>
    </w:p>
    <w:p>
      <w:pPr>
        <w:spacing w:after="140"/>
      </w:pPr>
      <w:hyperlink r:id="rId50">
        <w:r>
          <w:rPr>
            <w:color w:val="205781"/>
            <w:sz w:val="20"/>
          </w:rPr>
          <w:t>Unite training</w:t>
        </w:r>
      </w:hyperlink>
    </w:p>
    <w:p>
      <w:pPr>
        <w:spacing w:before="100"/>
      </w:pPr>
      <w:r>
        <w:rPr>
          <w:b w:val="0"/>
          <w:color w:val="444444"/>
          <w:sz w:val="19"/>
        </w:rPr>
        <w:t>The linked full-arch and bite videos are for TRIOS 3 and 4. The trainer must choose matching resources if the practice uses a different scanner or software.</w:t>
      </w:r>
    </w:p>
    <w:p>
      <w:pPr>
        <w:pStyle w:val="Heading1"/>
        <w:pageBreakBefore/>
      </w:pPr>
      <w:r>
        <w:t>3Shape care and maintenance</w:t>
      </w:r>
    </w:p>
    <w:p>
      <w:r>
        <w:rPr>
          <w:b w:val="0"/>
        </w:rPr>
        <w:t>Teach the scanner body and removable tip as separate items. Current 3Shape cleaning guidance points to section 6 of the matching Safety &amp; Setup Guide. Use the guide for the exact model and component before demonstrating cleaning or reprocessing.</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7992"/>
      </w:tblGrid>
      <w:tr>
        <w:trPr>
          <w:tblHeader/>
          <w:cantSplit/>
        </w:trPr>
        <w:tc>
          <w:tcPr>
            <w:tcW w:type="dxa" w:w="2088"/>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Item</w:t>
            </w:r>
          </w:p>
        </w:tc>
        <w:tc>
          <w:tcPr>
            <w:tcW w:type="dxa" w:w="7992"/>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Teaching points</w:t>
            </w:r>
          </w:p>
        </w:tc>
      </w:tr>
      <w:tr>
        <w:trPr>
          <w:cantSplit/>
        </w:trPr>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20"/>
              </w:rPr>
              <w:t>Removable tip</w:t>
            </w:r>
          </w:p>
        </w:tc>
        <w:tc>
          <w:tcPr>
            <w:tcW w:type="dxa" w:w="7992"/>
            <w:vAlign w:val="center"/>
            <w:tcMar>
              <w:top w:w="85" w:type="dxa"/>
              <w:left w:w="85" w:type="dxa"/>
              <w:bottom w:w="85" w:type="dxa"/>
              <w:right w:w="85" w:type="dxa"/>
            </w:tcMar>
            <w:shd w:fill="FFFFFF"/>
          </w:tcPr>
          <w:p>
            <w:pPr>
              <w:spacing w:after="40" w:before="20" w:line="252" w:lineRule="auto"/>
            </w:pPr>
            <w:r>
              <w:rPr>
                <w:rFonts w:ascii="Arial" w:hAnsi="Arial"/>
                <w:sz w:val="20"/>
              </w:rPr>
              <w:t>Identify its type and processing status. Demonstrate the approved cleaning, inspection, disinfection or sterilisation process, packaging and storage as applicable. Follow any stated reuse limit and tracking requirement.</w:t>
            </w:r>
          </w:p>
        </w:tc>
      </w:tr>
      <w:tr>
        <w:trPr>
          <w:cantSplit/>
        </w:trPr>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20"/>
              </w:rPr>
              <w:t>Scanner body</w:t>
            </w:r>
          </w:p>
        </w:tc>
        <w:tc>
          <w:tcPr>
            <w:tcW w:type="dxa" w:w="7992"/>
            <w:vAlign w:val="center"/>
            <w:tcMar>
              <w:top w:w="85" w:type="dxa"/>
              <w:left w:w="85" w:type="dxa"/>
              <w:bottom w:w="85" w:type="dxa"/>
              <w:right w:w="85" w:type="dxa"/>
            </w:tcMar>
            <w:shd w:fill="F4F4F4"/>
          </w:tcPr>
          <w:p>
            <w:pPr>
              <w:spacing w:after="40" w:before="20" w:line="252" w:lineRule="auto"/>
            </w:pPr>
            <w:r>
              <w:rPr>
                <w:rFonts w:ascii="Arial" w:hAnsi="Arial"/>
                <w:sz w:val="20"/>
              </w:rPr>
              <w:t>Use the model-specific cleaning and disinfection method. Do not apply the removable tip’s immersion or sterilisation method to the electronic body.</w:t>
            </w:r>
          </w:p>
        </w:tc>
      </w:tr>
      <w:tr>
        <w:trPr>
          <w:cantSplit/>
        </w:trPr>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20"/>
              </w:rPr>
              <w:t>Optical surfaces</w:t>
            </w:r>
          </w:p>
        </w:tc>
        <w:tc>
          <w:tcPr>
            <w:tcW w:type="dxa" w:w="7992"/>
            <w:vAlign w:val="center"/>
            <w:tcMar>
              <w:top w:w="85" w:type="dxa"/>
              <w:left w:w="85" w:type="dxa"/>
              <w:bottom w:w="85" w:type="dxa"/>
              <w:right w:w="85" w:type="dxa"/>
            </w:tcMar>
            <w:shd w:fill="FFFFFF"/>
          </w:tcPr>
          <w:p>
            <w:pPr>
              <w:spacing w:after="40" w:before="20" w:line="252" w:lineRule="auto"/>
            </w:pPr>
            <w:r>
              <w:rPr>
                <w:rFonts w:ascii="Arial" w:hAnsi="Arial"/>
                <w:sz w:val="20"/>
              </w:rPr>
              <w:t>Use only the approved inspection and cleaning method. Report contamination, scratches or damage that cannot be resolved by the taught procedure.</w:t>
            </w:r>
          </w:p>
        </w:tc>
      </w:tr>
      <w:tr>
        <w:trPr>
          <w:cantSplit/>
        </w:trPr>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20"/>
              </w:rPr>
              <w:t>Holder and accessories</w:t>
            </w:r>
          </w:p>
        </w:tc>
        <w:tc>
          <w:tcPr>
            <w:tcW w:type="dxa" w:w="7992"/>
            <w:vAlign w:val="center"/>
            <w:tcMar>
              <w:top w:w="85" w:type="dxa"/>
              <w:left w:w="85" w:type="dxa"/>
              <w:bottom w:w="85" w:type="dxa"/>
              <w:right w:w="85" w:type="dxa"/>
            </w:tcMar>
            <w:shd w:fill="F4F4F4"/>
          </w:tcPr>
          <w:p>
            <w:pPr>
              <w:spacing w:after="40" w:before="20" w:line="252" w:lineRule="auto"/>
            </w:pPr>
            <w:r>
              <w:rPr>
                <w:rFonts w:ascii="Arial" w:hAnsi="Arial"/>
                <w:sz w:val="20"/>
              </w:rPr>
              <w:t>Show the separate method for the holder, cable, charger and any other accessories. Protect connections and keep the storage area appropriate.</w:t>
            </w:r>
          </w:p>
        </w:tc>
      </w:tr>
      <w:tr>
        <w:trPr>
          <w:cantSplit/>
        </w:trPr>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20"/>
              </w:rPr>
              <w:t>Calibration</w:t>
            </w:r>
          </w:p>
        </w:tc>
        <w:tc>
          <w:tcPr>
            <w:tcW w:type="dxa" w:w="7992"/>
            <w:vAlign w:val="center"/>
            <w:tcMar>
              <w:top w:w="85" w:type="dxa"/>
              <w:left w:w="85" w:type="dxa"/>
              <w:bottom w:w="85" w:type="dxa"/>
              <w:right w:w="85" w:type="dxa"/>
            </w:tcMar>
            <w:shd w:fill="FFFFFF"/>
          </w:tcPr>
          <w:p>
            <w:pPr>
              <w:spacing w:after="40" w:before="20" w:line="252" w:lineRule="auto"/>
            </w:pPr>
            <w:r>
              <w:rPr>
                <w:rFonts w:ascii="Arial" w:hAnsi="Arial"/>
                <w:sz w:val="20"/>
              </w:rPr>
              <w:t>Where required for the model, use the correct calibration equipment and software prompts. Report a failed calibration before clinical use.</w:t>
            </w:r>
          </w:p>
        </w:tc>
      </w:tr>
      <w:tr>
        <w:trPr>
          <w:cantSplit/>
        </w:trPr>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20"/>
              </w:rPr>
              <w:t>Damage or uncertainty</w:t>
            </w:r>
          </w:p>
        </w:tc>
        <w:tc>
          <w:tcPr>
            <w:tcW w:type="dxa" w:w="7992"/>
            <w:vAlign w:val="center"/>
            <w:tcMar>
              <w:top w:w="85" w:type="dxa"/>
              <w:left w:w="85" w:type="dxa"/>
              <w:bottom w:w="85" w:type="dxa"/>
              <w:right w:w="85" w:type="dxa"/>
            </w:tcMar>
            <w:shd w:fill="F4F4F4"/>
          </w:tcPr>
          <w:p>
            <w:pPr>
              <w:spacing w:after="40" w:before="20" w:line="252" w:lineRule="auto"/>
            </w:pPr>
            <w:r>
              <w:rPr>
                <w:rFonts w:ascii="Arial" w:hAnsi="Arial"/>
                <w:sz w:val="20"/>
              </w:rPr>
              <w:t>Stop use, protect and label the item, and report it to the responsible lead. Do not continue with a dropped or damaged tip or scanner until checked.</w:t>
            </w:r>
          </w:p>
        </w:tc>
      </w:tr>
    </w:tbl>
    <w:p>
      <w:pPr>
        <w:spacing w:after="0"/>
      </w:pPr>
      <w:r>
        <w:rPr>
          <w:b w:val="0"/>
        </w:rPr>
      </w:r>
    </w:p>
    <w:p>
      <w:pPr>
        <w:pStyle w:val="Heading2"/>
      </w:pPr>
      <w:r>
        <w:t>Complete for the local scanner</w:t>
      </w:r>
    </w:p>
    <w:p>
      <w:r>
        <w:rPr>
          <w:b w:val="0"/>
        </w:rPr>
        <w:t>Model and asset identifier: ________________________________________</w:t>
      </w:r>
    </w:p>
    <w:p>
      <w:r>
        <w:rPr>
          <w:b w:val="0"/>
        </w:rPr>
        <w:t>Tip type and current guide revision: _______________________________</w:t>
      </w:r>
    </w:p>
    <w:p>
      <w:r>
        <w:rPr>
          <w:b w:val="0"/>
        </w:rPr>
        <w:t>Local procedure and required records: ______________________________</w:t>
      </w:r>
    </w:p>
    <w:p>
      <w:r>
        <w:rPr>
          <w:b w:val="0"/>
        </w:rPr>
        <w:t>Trainer and permitted learner task: _________________________________</w:t>
      </w:r>
    </w:p>
    <w:p>
      <w:pPr>
        <w:pStyle w:val="Heading2"/>
      </w:pPr>
      <w:r>
        <w:t>Manufacturer care resources</w:t>
      </w:r>
    </w:p>
    <w:p>
      <w:pPr>
        <w:spacing w:after="140"/>
      </w:pPr>
      <w:hyperlink r:id="rId51">
        <w:r>
          <w:rPr>
            <w:color w:val="205781"/>
            <w:sz w:val="20"/>
          </w:rPr>
          <w:t>Support Documentation</w:t>
        </w:r>
      </w:hyperlink>
    </w:p>
    <w:p>
      <w:pPr>
        <w:spacing w:after="140"/>
      </w:pPr>
      <w:hyperlink r:id="rId52">
        <w:r>
          <w:rPr>
            <w:color w:val="205781"/>
            <w:sz w:val="20"/>
          </w:rPr>
          <w:t>How to clean, disinfect, and sterilize your TRIOS Tips</w:t>
        </w:r>
      </w:hyperlink>
    </w:p>
    <w:p>
      <w:pPr>
        <w:spacing w:after="140"/>
      </w:pPr>
      <w:hyperlink r:id="rId53">
        <w:r>
          <w:rPr>
            <w:color w:val="205781"/>
            <w:sz w:val="20"/>
          </w:rPr>
          <w:t>How to clean and disinfect your TRIOS scanner</w:t>
        </w:r>
      </w:hyperlink>
    </w:p>
    <w:p>
      <w:pPr>
        <w:spacing w:after="140"/>
      </w:pPr>
      <w:hyperlink r:id="rId54">
        <w:r>
          <w:rPr>
            <w:color w:val="205781"/>
            <w:sz w:val="20"/>
          </w:rPr>
          <w:t>3Shape TRIOS - Calibrating the TRIOS 3</w:t>
        </w:r>
      </w:hyperlink>
    </w:p>
    <w:p>
      <w:pPr>
        <w:spacing w:before="100"/>
      </w:pPr>
      <w:r>
        <w:rPr>
          <w:b w:val="0"/>
          <w:color w:val="444444"/>
          <w:sz w:val="19"/>
        </w:rPr>
        <w:t>The calibration video is for TRIOS 3. Follow the current guide and software for the installed model; do not copy a cycle, chemical or tip lifespan from an unmatched video.</w:t>
      </w:r>
    </w:p>
    <w:p>
      <w:pPr>
        <w:pStyle w:val="Heading1"/>
        <w:pageBreakBefore/>
      </w:pPr>
      <w:r>
        <w:t>EMS AIRFLOW basics</w:t>
      </w:r>
    </w:p>
    <w:p>
      <w:r>
        <w:rPr>
          <w:b w:val="0"/>
        </w:rPr>
        <w:t>AIRFLOW uses a controlled mixture of air, water and dental powder to remove biofilm and staining in the situations selected by the clinician. Learn the purpose and the equipment before preparing a patient appointment. The clinician decides suitability, technique, powder, settings and any contraindications.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160"/>
        <w:gridCol w:w="7920"/>
      </w:tblGrid>
      <w:tr>
        <w:trPr>
          <w:tblHeader/>
          <w:cantSplit/>
        </w:trPr>
        <w:tc>
          <w:tcPr>
            <w:tcW w:type="dxa" w:w="2160"/>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Component or term</w:t>
            </w:r>
          </w:p>
        </w:tc>
        <w:tc>
          <w:tcPr>
            <w:tcW w:type="dxa" w:w="7920"/>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What to learn</w:t>
            </w:r>
          </w:p>
        </w:tc>
      </w:tr>
      <w:tr>
        <w:trPr>
          <w:cantSplit/>
        </w:trPr>
        <w:tc>
          <w:tcPr>
            <w:tcW w:type="dxa" w:w="2160"/>
            <w:vAlign w:val="center"/>
            <w:tcMar>
              <w:top w:w="85" w:type="dxa"/>
              <w:left w:w="85" w:type="dxa"/>
              <w:bottom w:w="85" w:type="dxa"/>
              <w:right w:w="85" w:type="dxa"/>
            </w:tcMar>
            <w:shd w:fill="FFFFFF"/>
          </w:tcPr>
          <w:p>
            <w:pPr>
              <w:spacing w:after="40" w:before="20" w:line="252" w:lineRule="auto"/>
            </w:pPr>
            <w:r>
              <w:rPr>
                <w:rFonts w:ascii="Arial" w:hAnsi="Arial"/>
                <w:sz w:val="20"/>
              </w:rPr>
              <w:t>AIRFLOW or AIRFLOW MAX</w:t>
            </w:r>
          </w:p>
        </w:tc>
        <w:tc>
          <w:tcPr>
            <w:tcW w:type="dxa" w:w="7920"/>
            <w:vAlign w:val="center"/>
            <w:tcMar>
              <w:top w:w="85" w:type="dxa"/>
              <w:left w:w="85" w:type="dxa"/>
              <w:bottom w:w="85" w:type="dxa"/>
              <w:right w:w="85" w:type="dxa"/>
            </w:tcMar>
            <w:shd w:fill="FFFFFF"/>
          </w:tcPr>
          <w:p>
            <w:pPr>
              <w:spacing w:after="40" w:before="20" w:line="252" w:lineRule="auto"/>
            </w:pPr>
            <w:r>
              <w:rPr>
                <w:rFonts w:ascii="Arial" w:hAnsi="Arial"/>
                <w:sz w:val="20"/>
              </w:rPr>
              <w:t>Identify the fitted air-polishing handpiece and its matching cord and care instructions.</w:t>
            </w:r>
          </w:p>
        </w:tc>
      </w:tr>
      <w:tr>
        <w:trPr>
          <w:cantSplit/>
        </w:trPr>
        <w:tc>
          <w:tcPr>
            <w:tcW w:type="dxa" w:w="2160"/>
            <w:vAlign w:val="center"/>
            <w:tcMar>
              <w:top w:w="85" w:type="dxa"/>
              <w:left w:w="85" w:type="dxa"/>
              <w:bottom w:w="85" w:type="dxa"/>
              <w:right w:w="85" w:type="dxa"/>
            </w:tcMar>
            <w:shd w:fill="F4F4F4"/>
          </w:tcPr>
          <w:p>
            <w:pPr>
              <w:spacing w:after="40" w:before="20" w:line="252" w:lineRule="auto"/>
            </w:pPr>
            <w:r>
              <w:rPr>
                <w:rFonts w:ascii="Arial" w:hAnsi="Arial"/>
                <w:sz w:val="20"/>
              </w:rPr>
              <w:t>PERIOFLOW</w:t>
            </w:r>
          </w:p>
        </w:tc>
        <w:tc>
          <w:tcPr>
            <w:tcW w:type="dxa" w:w="7920"/>
            <w:vAlign w:val="center"/>
            <w:tcMar>
              <w:top w:w="85" w:type="dxa"/>
              <w:left w:w="85" w:type="dxa"/>
              <w:bottom w:w="85" w:type="dxa"/>
              <w:right w:w="85" w:type="dxa"/>
            </w:tcMar>
            <w:shd w:fill="F4F4F4"/>
          </w:tcPr>
          <w:p>
            <w:pPr>
              <w:spacing w:after="40" w:before="20" w:line="252" w:lineRule="auto"/>
            </w:pPr>
            <w:r>
              <w:rPr>
                <w:rFonts w:ascii="Arial" w:hAnsi="Arial"/>
                <w:sz w:val="20"/>
              </w:rPr>
              <w:t>A different application and nozzle arrangement for clinician-selected periodontal uses. It is not a beginner treatment task.</w:t>
            </w:r>
          </w:p>
        </w:tc>
      </w:tr>
      <w:tr>
        <w:trPr>
          <w:cantSplit/>
        </w:trPr>
        <w:tc>
          <w:tcPr>
            <w:tcW w:type="dxa" w:w="2160"/>
            <w:vAlign w:val="center"/>
            <w:tcMar>
              <w:top w:w="85" w:type="dxa"/>
              <w:left w:w="85" w:type="dxa"/>
              <w:bottom w:w="85" w:type="dxa"/>
              <w:right w:w="85" w:type="dxa"/>
            </w:tcMar>
            <w:shd w:fill="FFFFFF"/>
          </w:tcPr>
          <w:p>
            <w:pPr>
              <w:spacing w:after="40" w:before="20" w:line="252" w:lineRule="auto"/>
            </w:pPr>
            <w:r>
              <w:rPr>
                <w:rFonts w:ascii="Arial" w:hAnsi="Arial"/>
                <w:sz w:val="20"/>
              </w:rPr>
              <w:t>PIEZON</w:t>
            </w:r>
          </w:p>
        </w:tc>
        <w:tc>
          <w:tcPr>
            <w:tcW w:type="dxa" w:w="7920"/>
            <w:vAlign w:val="center"/>
            <w:tcMar>
              <w:top w:w="85" w:type="dxa"/>
              <w:left w:w="85" w:type="dxa"/>
              <w:bottom w:w="85" w:type="dxa"/>
              <w:right w:w="85" w:type="dxa"/>
            </w:tcMar>
            <w:shd w:fill="FFFFFF"/>
          </w:tcPr>
          <w:p>
            <w:pPr>
              <w:spacing w:after="40" w:before="20" w:line="252" w:lineRule="auto"/>
            </w:pPr>
            <w:r>
              <w:rPr>
                <w:rFonts w:ascii="Arial" w:hAnsi="Arial"/>
                <w:sz w:val="20"/>
              </w:rPr>
              <w:t>The ultrasonic instrument system on devices that include it. It is different from air polishing.</w:t>
            </w:r>
          </w:p>
        </w:tc>
      </w:tr>
      <w:tr>
        <w:trPr>
          <w:cantSplit/>
        </w:trPr>
        <w:tc>
          <w:tcPr>
            <w:tcW w:type="dxa" w:w="2160"/>
            <w:vAlign w:val="center"/>
            <w:tcMar>
              <w:top w:w="85" w:type="dxa"/>
              <w:left w:w="85" w:type="dxa"/>
              <w:bottom w:w="85" w:type="dxa"/>
              <w:right w:w="85" w:type="dxa"/>
            </w:tcMar>
            <w:shd w:fill="F4F4F4"/>
          </w:tcPr>
          <w:p>
            <w:pPr>
              <w:spacing w:after="40" w:before="20" w:line="252" w:lineRule="auto"/>
            </w:pPr>
            <w:r>
              <w:rPr>
                <w:rFonts w:ascii="Arial" w:hAnsi="Arial"/>
                <w:sz w:val="20"/>
              </w:rPr>
              <w:t>Powder chamber</w:t>
            </w:r>
          </w:p>
        </w:tc>
        <w:tc>
          <w:tcPr>
            <w:tcW w:type="dxa" w:w="7920"/>
            <w:vAlign w:val="center"/>
            <w:tcMar>
              <w:top w:w="85" w:type="dxa"/>
              <w:left w:w="85" w:type="dxa"/>
              <w:bottom w:w="85" w:type="dxa"/>
              <w:right w:w="85" w:type="dxa"/>
            </w:tcMar>
            <w:shd w:fill="F4F4F4"/>
          </w:tcPr>
          <w:p>
            <w:pPr>
              <w:spacing w:after="40" w:before="20" w:line="252" w:lineRule="auto"/>
            </w:pPr>
            <w:r>
              <w:rPr>
                <w:rFonts w:ascii="Arial" w:hAnsi="Arial"/>
                <w:sz w:val="20"/>
              </w:rPr>
              <w:t>Match the chamber and powder to the device instructions and clinician’s selection. Check labels and expiry; do not guess compatibility.</w:t>
            </w:r>
          </w:p>
        </w:tc>
      </w:tr>
      <w:tr>
        <w:trPr>
          <w:cantSplit/>
        </w:trPr>
        <w:tc>
          <w:tcPr>
            <w:tcW w:type="dxa" w:w="2160"/>
            <w:vAlign w:val="center"/>
            <w:tcMar>
              <w:top w:w="85" w:type="dxa"/>
              <w:left w:w="85" w:type="dxa"/>
              <w:bottom w:w="85" w:type="dxa"/>
              <w:right w:w="85" w:type="dxa"/>
            </w:tcMar>
            <w:shd w:fill="FFFFFF"/>
          </w:tcPr>
          <w:p>
            <w:pPr>
              <w:spacing w:after="40" w:before="20" w:line="252" w:lineRule="auto"/>
            </w:pPr>
            <w:r>
              <w:rPr>
                <w:rFonts w:ascii="Arial" w:hAnsi="Arial"/>
                <w:sz w:val="20"/>
              </w:rPr>
              <w:t>Water and cleaning system</w:t>
            </w:r>
          </w:p>
        </w:tc>
        <w:tc>
          <w:tcPr>
            <w:tcW w:type="dxa" w:w="7920"/>
            <w:vAlign w:val="center"/>
            <w:tcMar>
              <w:top w:w="85" w:type="dxa"/>
              <w:left w:w="85" w:type="dxa"/>
              <w:bottom w:w="85" w:type="dxa"/>
              <w:right w:w="85" w:type="dxa"/>
            </w:tcMar>
            <w:shd w:fill="FFFFFF"/>
          </w:tcPr>
          <w:p>
            <w:pPr>
              <w:spacing w:after="40" w:before="20" w:line="252" w:lineRule="auto"/>
            </w:pPr>
            <w:r>
              <w:rPr>
                <w:rFonts w:ascii="Arial" w:hAnsi="Arial"/>
                <w:sz w:val="20"/>
              </w:rPr>
              <w:t>Identify the actual bottles, water supply and any Station or Station+ arrangement.</w:t>
            </w:r>
          </w:p>
        </w:tc>
      </w:tr>
      <w:tr>
        <w:trPr>
          <w:cantSplit/>
        </w:trPr>
        <w:tc>
          <w:tcPr>
            <w:tcW w:type="dxa" w:w="2160"/>
            <w:vAlign w:val="center"/>
            <w:tcMar>
              <w:top w:w="85" w:type="dxa"/>
              <w:left w:w="85" w:type="dxa"/>
              <w:bottom w:w="85" w:type="dxa"/>
              <w:right w:w="85" w:type="dxa"/>
            </w:tcMar>
            <w:shd w:fill="F4F4F4"/>
          </w:tcPr>
          <w:p>
            <w:pPr>
              <w:spacing w:after="40" w:before="20" w:line="252" w:lineRule="auto"/>
            </w:pPr>
            <w:r>
              <w:rPr>
                <w:rFonts w:ascii="Arial" w:hAnsi="Arial"/>
                <w:sz w:val="20"/>
              </w:rPr>
              <w:t>Pedal and controls</w:t>
            </w:r>
          </w:p>
        </w:tc>
        <w:tc>
          <w:tcPr>
            <w:tcW w:type="dxa" w:w="7920"/>
            <w:vAlign w:val="center"/>
            <w:tcMar>
              <w:top w:w="85" w:type="dxa"/>
              <w:left w:w="85" w:type="dxa"/>
              <w:bottom w:w="85" w:type="dxa"/>
              <w:right w:w="85" w:type="dxa"/>
            </w:tcMar>
            <w:shd w:fill="F4F4F4"/>
          </w:tcPr>
          <w:p>
            <w:pPr>
              <w:spacing w:after="40" w:before="20" w:line="252" w:lineRule="auto"/>
            </w:pPr>
            <w:r>
              <w:rPr>
                <w:rFonts w:ascii="Arial" w:hAnsi="Arial"/>
                <w:sz w:val="20"/>
              </w:rPr>
              <w:t>Learn the taught setup, stopping procedure and fault indicators before handling the unit.</w:t>
            </w:r>
          </w:p>
        </w:tc>
      </w:tr>
    </w:tbl>
    <w:p>
      <w:pPr>
        <w:spacing w:after="0"/>
      </w:pPr>
      <w:r>
        <w:rPr>
          <w:b w:val="0"/>
        </w:rPr>
      </w:r>
    </w:p>
    <w:p>
      <w:pPr>
        <w:pStyle w:val="Heading2"/>
      </w:pPr>
      <w:r>
        <w:t>Beginner nursing role</w:t>
      </w:r>
    </w:p>
    <w:p>
      <w:pPr>
        <w:pStyle w:val="ListBullet"/>
      </w:pPr>
      <w:r>
        <w:rPr>
          <w:b w:val="0"/>
        </w:rPr>
        <w:t>Identify the correct unit and components. Check the taught readiness points and report damage, leaks, blockages or uncertain processing status.</w:t>
      </w:r>
    </w:p>
    <w:p>
      <w:pPr>
        <w:pStyle w:val="ListBullet"/>
      </w:pPr>
      <w:r>
        <w:rPr>
          <w:b w:val="0"/>
        </w:rPr>
        <w:t>Prepare the requested items and protective equipment, and provide taught suction, patient support and turnover under supervision.</w:t>
      </w:r>
    </w:p>
    <w:p>
      <w:pPr>
        <w:pStyle w:val="ListBullet"/>
      </w:pPr>
      <w:r>
        <w:rPr>
          <w:b w:val="0"/>
        </w:rPr>
        <w:t>Learn the safe depressurisation and handling procedure before a chamber is opened or removed. Do not improvise a way to release pressure.</w:t>
      </w:r>
    </w:p>
    <w:p>
      <w:r>
        <w:rPr>
          <w:b w:val="0"/>
        </w:rPr>
        <w:t>Equipment familiarisation and cleaning sign-off do not authorise the trainee to deliver AIRFLOW, PERIOFLOW or PIEZON treatment. Clinical use and any extended activity require separate role-appropriate training and authorisation.</w:t>
      </w:r>
    </w:p>
    <w:p>
      <w:pPr>
        <w:pStyle w:val="Heading2"/>
      </w:pPr>
      <w:r>
        <w:t>Manufacturer resources</w:t>
      </w:r>
    </w:p>
    <w:p>
      <w:pPr>
        <w:spacing w:after="140"/>
      </w:pPr>
      <w:hyperlink r:id="rId55">
        <w:r>
          <w:rPr>
            <w:color w:val="205781"/>
            <w:sz w:val="20"/>
          </w:rPr>
          <w:t>AIRFLOW Prophylaxis Master — FAQ</w:t>
        </w:r>
      </w:hyperlink>
    </w:p>
    <w:p>
      <w:pPr>
        <w:spacing w:after="140"/>
      </w:pPr>
      <w:hyperlink r:id="rId56">
        <w:r>
          <w:rPr>
            <w:color w:val="205781"/>
            <w:sz w:val="20"/>
          </w:rPr>
          <w:t>AIRFLOW Prophylaxis Master — Documents</w:t>
        </w:r>
      </w:hyperlink>
    </w:p>
    <w:p>
      <w:pPr>
        <w:spacing w:after="140"/>
      </w:pPr>
      <w:hyperlink r:id="rId57">
        <w:r>
          <w:rPr>
            <w:color w:val="205781"/>
            <w:sz w:val="20"/>
          </w:rPr>
          <w:t>In Practice — Swiss Dental Academy — GB</w:t>
        </w:r>
      </w:hyperlink>
    </w:p>
    <w:p>
      <w:pPr>
        <w:spacing w:before="100"/>
      </w:pPr>
      <w:r>
        <w:rPr>
          <w:b w:val="0"/>
          <w:color w:val="444444"/>
          <w:sz w:val="19"/>
        </w:rPr>
        <w:t>Use the country selector where needed and obtain the current instructions that match the installed device and region.</w:t>
      </w:r>
    </w:p>
    <w:p>
      <w:pPr>
        <w:pStyle w:val="Heading1"/>
        <w:pageBreakBefore/>
      </w:pPr>
      <w:r>
        <w:t>EMS cleaning and daily care</w:t>
      </w:r>
    </w:p>
    <w:p>
      <w:r>
        <w:rPr>
          <w:b w:val="0"/>
        </w:rPr>
        <w:t>Teach handpiece reprocessing, chamber cleaning, surface cleaning and waterline care as separate tasks. The correct procedure depends on the unit, handpiece and configuration, including whether Station+ is fitted.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88"/>
        <w:gridCol w:w="7992"/>
      </w:tblGrid>
      <w:tr>
        <w:trPr>
          <w:tblHeader/>
          <w:cantSplit/>
        </w:trPr>
        <w:tc>
          <w:tcPr>
            <w:tcW w:type="dxa" w:w="2088"/>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Task</w:t>
            </w:r>
          </w:p>
        </w:tc>
        <w:tc>
          <w:tcPr>
            <w:tcW w:type="dxa" w:w="7992"/>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Training content and stop points</w:t>
            </w:r>
          </w:p>
        </w:tc>
      </w:tr>
      <w:tr>
        <w:trPr>
          <w:cantSplit/>
        </w:trPr>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20"/>
              </w:rPr>
              <w:t>Between patients</w:t>
            </w:r>
          </w:p>
        </w:tc>
        <w:tc>
          <w:tcPr>
            <w:tcW w:type="dxa" w:w="7992"/>
            <w:vAlign w:val="center"/>
            <w:tcMar>
              <w:top w:w="85" w:type="dxa"/>
              <w:left w:w="85" w:type="dxa"/>
              <w:bottom w:w="85" w:type="dxa"/>
              <w:right w:w="85" w:type="dxa"/>
            </w:tcMar>
            <w:shd w:fill="FFFFFF"/>
          </w:tcPr>
          <w:p>
            <w:pPr>
              <w:spacing w:after="40" w:before="20" w:line="252" w:lineRule="auto"/>
            </w:pPr>
            <w:r>
              <w:rPr>
                <w:rFonts w:ascii="Arial" w:hAnsi="Arial"/>
                <w:sz w:val="20"/>
              </w:rPr>
              <w:t>Follow the matching point-of-use and component reprocessing instructions. Separate contaminated from ready-for-use items. Check the taught processing and inspection records.</w:t>
            </w:r>
          </w:p>
        </w:tc>
      </w:tr>
      <w:tr>
        <w:trPr>
          <w:cantSplit/>
        </w:trPr>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20"/>
              </w:rPr>
              <w:t>Handpiece reprocessing</w:t>
            </w:r>
          </w:p>
        </w:tc>
        <w:tc>
          <w:tcPr>
            <w:tcW w:type="dxa" w:w="7992"/>
            <w:vAlign w:val="center"/>
            <w:tcMar>
              <w:top w:w="85" w:type="dxa"/>
              <w:left w:w="85" w:type="dxa"/>
              <w:bottom w:w="85" w:type="dxa"/>
              <w:right w:w="85" w:type="dxa"/>
            </w:tcMar>
            <w:shd w:fill="F4F4F4"/>
          </w:tcPr>
          <w:p>
            <w:pPr>
              <w:spacing w:after="40" w:before="20" w:line="252" w:lineRule="auto"/>
            </w:pPr>
            <w:r>
              <w:rPr>
                <w:rFonts w:ascii="Arial" w:hAnsi="Arial"/>
                <w:sz w:val="20"/>
              </w:rPr>
              <w:t>Demonstrate the manufacturer’s channel preparation and full reprocessing procedure for the fitted handpiece. A channel-clearing step alone is not complete reprocessing.</w:t>
            </w:r>
          </w:p>
        </w:tc>
      </w:tr>
      <w:tr>
        <w:trPr>
          <w:cantSplit/>
        </w:trPr>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20"/>
              </w:rPr>
              <w:t>Powder chamber care</w:t>
            </w:r>
          </w:p>
        </w:tc>
        <w:tc>
          <w:tcPr>
            <w:tcW w:type="dxa" w:w="7992"/>
            <w:vAlign w:val="center"/>
            <w:tcMar>
              <w:top w:w="85" w:type="dxa"/>
              <w:left w:w="85" w:type="dxa"/>
              <w:bottom w:w="85" w:type="dxa"/>
              <w:right w:w="85" w:type="dxa"/>
            </w:tcMar>
            <w:shd w:fill="FFFFFF"/>
          </w:tcPr>
          <w:p>
            <w:pPr>
              <w:spacing w:after="40" w:before="20" w:line="252" w:lineRule="auto"/>
            </w:pPr>
            <w:r>
              <w:rPr>
                <w:rFonts w:ascii="Arial" w:hAnsi="Arial"/>
                <w:sz w:val="20"/>
              </w:rPr>
              <w:t>Use the chamber-specific cleaning and drying method and safe pressure-release sequence. Do not transfer the handpiece procedure to the chamber, lid or unit.</w:t>
            </w:r>
          </w:p>
        </w:tc>
      </w:tr>
      <w:tr>
        <w:trPr>
          <w:cantSplit/>
        </w:trPr>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20"/>
              </w:rPr>
              <w:t>Start of day</w:t>
            </w:r>
          </w:p>
        </w:tc>
        <w:tc>
          <w:tcPr>
            <w:tcW w:type="dxa" w:w="7992"/>
            <w:vAlign w:val="center"/>
            <w:tcMar>
              <w:top w:w="85" w:type="dxa"/>
              <w:left w:w="85" w:type="dxa"/>
              <w:bottom w:w="85" w:type="dxa"/>
              <w:right w:w="85" w:type="dxa"/>
            </w:tcMar>
            <w:shd w:fill="F4F4F4"/>
          </w:tcPr>
          <w:p>
            <w:pPr>
              <w:spacing w:after="40" w:before="20" w:line="252" w:lineRule="auto"/>
            </w:pPr>
            <w:r>
              <w:rPr>
                <w:rFonts w:ascii="Arial" w:hAnsi="Arial"/>
                <w:sz w:val="20"/>
              </w:rPr>
              <w:t>Follow the correct water supply, connection and rinse checks for the actual unit. Confirm readiness before patient use.</w:t>
            </w:r>
          </w:p>
        </w:tc>
      </w:tr>
      <w:tr>
        <w:trPr>
          <w:cantSplit/>
        </w:trPr>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20"/>
              </w:rPr>
              <w:t>End of day</w:t>
            </w:r>
          </w:p>
        </w:tc>
        <w:tc>
          <w:tcPr>
            <w:tcW w:type="dxa" w:w="7992"/>
            <w:vAlign w:val="center"/>
            <w:tcMar>
              <w:top w:w="85" w:type="dxa"/>
              <w:left w:w="85" w:type="dxa"/>
              <w:bottom w:w="85" w:type="dxa"/>
              <w:right w:w="85" w:type="dxa"/>
            </w:tcMar>
            <w:shd w:fill="FFFFFF"/>
          </w:tcPr>
          <w:p>
            <w:pPr>
              <w:spacing w:after="40" w:before="20" w:line="252" w:lineRule="auto"/>
            </w:pPr>
            <w:r>
              <w:rPr>
                <w:rFonts w:ascii="Arial" w:hAnsi="Arial"/>
                <w:sz w:val="20"/>
              </w:rPr>
              <w:t>Follow the specified cleaning cycle, chemical, container and connections, then the required storage and shutdown method. Record completion.</w:t>
            </w:r>
          </w:p>
        </w:tc>
      </w:tr>
      <w:tr>
        <w:trPr>
          <w:cantSplit/>
        </w:trPr>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20"/>
              </w:rPr>
              <w:t>Fault or interrupted cycle</w:t>
            </w:r>
          </w:p>
        </w:tc>
        <w:tc>
          <w:tcPr>
            <w:tcW w:type="dxa" w:w="7992"/>
            <w:vAlign w:val="center"/>
            <w:tcMar>
              <w:top w:w="85" w:type="dxa"/>
              <w:left w:w="85" w:type="dxa"/>
              <w:bottom w:w="85" w:type="dxa"/>
              <w:right w:w="85" w:type="dxa"/>
            </w:tcMar>
            <w:shd w:fill="F4F4F4"/>
          </w:tcPr>
          <w:p>
            <w:pPr>
              <w:spacing w:after="40" w:before="20" w:line="252" w:lineRule="auto"/>
            </w:pPr>
            <w:r>
              <w:rPr>
                <w:rFonts w:ascii="Arial" w:hAnsi="Arial"/>
                <w:sz w:val="20"/>
              </w:rPr>
              <w:t>Keep the unit out of use when cleaner removal, flow or readiness cannot be confirmed. Label and report it. Do not use improvised wires, tools, chemicals or repairs.</w:t>
            </w:r>
          </w:p>
        </w:tc>
      </w:tr>
    </w:tbl>
    <w:p>
      <w:pPr>
        <w:spacing w:after="0"/>
      </w:pPr>
      <w:r>
        <w:rPr>
          <w:b w:val="0"/>
        </w:rPr>
      </w:r>
    </w:p>
    <w:p>
      <w:pPr>
        <w:pStyle w:val="Heading2"/>
      </w:pPr>
      <w:r>
        <w:t>Watch with the matching equipment</w:t>
      </w:r>
    </w:p>
    <w:p>
      <w:pPr>
        <w:spacing w:after="140"/>
      </w:pPr>
      <w:hyperlink r:id="rId58">
        <w:r>
          <w:rPr>
            <w:color w:val="205781"/>
            <w:sz w:val="20"/>
          </w:rPr>
          <w:t>How to reprocess the AIRFLOW MAX Handpiece</w:t>
        </w:r>
      </w:hyperlink>
    </w:p>
    <w:p>
      <w:pPr>
        <w:spacing w:after="140"/>
      </w:pPr>
      <w:hyperlink r:id="rId59">
        <w:r>
          <w:rPr>
            <w:color w:val="205781"/>
            <w:sz w:val="20"/>
          </w:rPr>
          <w:t>How to clean the powder chamber</w:t>
        </w:r>
      </w:hyperlink>
    </w:p>
    <w:p>
      <w:pPr>
        <w:spacing w:after="140"/>
      </w:pPr>
      <w:hyperlink r:id="rId60">
        <w:r>
          <w:rPr>
            <w:color w:val="205781"/>
            <w:sz w:val="20"/>
          </w:rPr>
          <w:t>How to do everyday maintenance of the AIRFLOW Prophylaxis Master without Station+?</w:t>
        </w:r>
      </w:hyperlink>
    </w:p>
    <w:p>
      <w:pPr>
        <w:spacing w:after="140"/>
      </w:pPr>
      <w:hyperlink r:id="rId61">
        <w:r>
          <w:rPr>
            <w:color w:val="205781"/>
            <w:sz w:val="20"/>
          </w:rPr>
          <w:t>How to do everyday maintenance of the AIRFLOW Prophylaxis Master with Station+?</w:t>
        </w:r>
      </w:hyperlink>
    </w:p>
    <w:p>
      <w:pPr>
        <w:pStyle w:val="Heading2"/>
      </w:pPr>
      <w:r>
        <w:t>Complete for the local EMS unit</w:t>
      </w:r>
    </w:p>
    <w:p>
      <w:r>
        <w:rPr>
          <w:b w:val="0"/>
        </w:rPr>
        <w:t>Model and asset identifier: ________________________________________</w:t>
      </w:r>
    </w:p>
    <w:p>
      <w:r>
        <w:rPr>
          <w:b w:val="0"/>
        </w:rPr>
        <w:t>Handpiece and Station configuration: _______________________________</w:t>
      </w:r>
    </w:p>
    <w:p>
      <w:r>
        <w:rPr>
          <w:b w:val="0"/>
        </w:rPr>
        <w:t>Current IFU and local procedure: ___________________________________</w:t>
      </w:r>
    </w:p>
    <w:p>
      <w:r>
        <w:rPr>
          <w:b w:val="0"/>
        </w:rPr>
        <w:t>Chemical and water arrangement verified by: ________________________</w:t>
      </w:r>
    </w:p>
    <w:p>
      <w:r>
        <w:rPr>
          <w:b w:val="0"/>
        </w:rPr>
        <w:t>Trainer and permitted learner task: _________________________________</w:t>
      </w:r>
    </w:p>
    <w:p>
      <w:pPr>
        <w:pStyle w:val="Heading1"/>
        <w:pageBreakBefore/>
      </w:pPr>
      <w:r>
        <w:t>Supervision and development through qualification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592"/>
        <w:gridCol w:w="7488"/>
      </w:tblGrid>
      <w:tr>
        <w:trPr>
          <w:tblHeader/>
          <w:cantSplit/>
        </w:trPr>
        <w:tc>
          <w:tcPr>
            <w:tcW w:type="dxa" w:w="2592"/>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Person</w:t>
            </w:r>
          </w:p>
        </w:tc>
        <w:tc>
          <w:tcPr>
            <w:tcW w:type="dxa" w:w="7488"/>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Responsibility</w:t>
            </w:r>
          </w:p>
        </w:tc>
      </w:tr>
      <w:tr>
        <w:trPr>
          <w:cantSplit/>
        </w:trPr>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20"/>
              </w:rPr>
              <w:t>Named GDC supervising registrant</w:t>
            </w:r>
          </w:p>
        </w:tc>
        <w:tc>
          <w:tcPr>
            <w:tcW w:type="dxa" w:w="7488"/>
            <w:vAlign w:val="center"/>
            <w:tcMar>
              <w:top w:w="85" w:type="dxa"/>
              <w:left w:w="85" w:type="dxa"/>
              <w:bottom w:w="85" w:type="dxa"/>
              <w:right w:w="85" w:type="dxa"/>
            </w:tcMar>
            <w:shd w:fill="FFFFFF"/>
          </w:tcPr>
          <w:p>
            <w:pPr>
              <w:spacing w:after="40" w:before="20" w:line="252" w:lineRule="auto"/>
            </w:pPr>
            <w:r>
              <w:rPr>
                <w:rFonts w:ascii="Arial" w:hAnsi="Arial"/>
                <w:sz w:val="20"/>
              </w:rPr>
              <w:t>Accountable for the trainee’s direct supervision and suitable delegation to other registrants.</w:t>
            </w:r>
          </w:p>
        </w:tc>
      </w:tr>
      <w:tr>
        <w:trPr>
          <w:cantSplit/>
        </w:trPr>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20"/>
              </w:rPr>
              <w:t>Mentor and deputy</w:t>
            </w:r>
          </w:p>
        </w:tc>
        <w:tc>
          <w:tcPr>
            <w:tcW w:type="dxa" w:w="7488"/>
            <w:vAlign w:val="center"/>
            <w:tcMar>
              <w:top w:w="85" w:type="dxa"/>
              <w:left w:w="85" w:type="dxa"/>
              <w:bottom w:w="85" w:type="dxa"/>
              <w:right w:w="85" w:type="dxa"/>
            </w:tcMar>
            <w:shd w:fill="F4F4F4"/>
          </w:tcPr>
          <w:p>
            <w:pPr>
              <w:spacing w:after="40" w:before="20" w:line="252" w:lineRule="auto"/>
            </w:pPr>
            <w:r>
              <w:rPr>
                <w:rFonts w:ascii="Arial" w:hAnsi="Arial"/>
                <w:sz w:val="20"/>
              </w:rPr>
              <w:t>Demonstrate local methods, observe practice, give task feedback and keep permissions clear.</w:t>
            </w:r>
          </w:p>
        </w:tc>
      </w:tr>
      <w:tr>
        <w:trPr>
          <w:cantSplit/>
        </w:trPr>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20"/>
              </w:rPr>
              <w:t>Treating clinician</w:t>
            </w:r>
          </w:p>
        </w:tc>
        <w:tc>
          <w:tcPr>
            <w:tcW w:type="dxa" w:w="7488"/>
            <w:vAlign w:val="center"/>
            <w:tcMar>
              <w:top w:w="85" w:type="dxa"/>
              <w:left w:w="85" w:type="dxa"/>
              <w:bottom w:w="85" w:type="dxa"/>
              <w:right w:w="85" w:type="dxa"/>
            </w:tcMar>
            <w:shd w:fill="FFFFFF"/>
          </w:tcPr>
          <w:p>
            <w:pPr>
              <w:spacing w:after="40" w:before="20" w:line="252" w:lineRule="auto"/>
            </w:pPr>
            <w:r>
              <w:rPr>
                <w:rFonts w:ascii="Arial" w:hAnsi="Arial"/>
                <w:sz w:val="20"/>
              </w:rPr>
              <w:t>Give patient-specific instructions, confirm charting and treatment decisions, and intervene when needed.</w:t>
            </w:r>
          </w:p>
        </w:tc>
      </w:tr>
      <w:tr>
        <w:trPr>
          <w:cantSplit/>
        </w:trPr>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20"/>
              </w:rPr>
              <w:t>Manager</w:t>
            </w:r>
          </w:p>
        </w:tc>
        <w:tc>
          <w:tcPr>
            <w:tcW w:type="dxa" w:w="7488"/>
            <w:vAlign w:val="center"/>
            <w:tcMar>
              <w:top w:w="85" w:type="dxa"/>
              <w:left w:w="85" w:type="dxa"/>
              <w:bottom w:w="85" w:type="dxa"/>
              <w:right w:w="85" w:type="dxa"/>
            </w:tcMar>
            <w:shd w:fill="F4F4F4"/>
          </w:tcPr>
          <w:p>
            <w:pPr>
              <w:spacing w:after="40" w:before="20" w:line="252" w:lineRule="auto"/>
            </w:pPr>
            <w:r>
              <w:rPr>
                <w:rFonts w:ascii="Arial" w:hAnsi="Arial"/>
                <w:sz w:val="20"/>
              </w:rPr>
              <w:t>Arrange staffing and support, resolve duty and attendance issues, and liaise with the provider.</w:t>
            </w:r>
          </w:p>
        </w:tc>
      </w:tr>
      <w:tr>
        <w:trPr>
          <w:cantSplit/>
        </w:trPr>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20"/>
              </w:rPr>
              <w:t>Provider tutor</w:t>
            </w:r>
          </w:p>
        </w:tc>
        <w:tc>
          <w:tcPr>
            <w:tcW w:type="dxa" w:w="7488"/>
            <w:vAlign w:val="center"/>
            <w:tcMar>
              <w:top w:w="85" w:type="dxa"/>
              <w:left w:w="85" w:type="dxa"/>
              <w:bottom w:w="85" w:type="dxa"/>
              <w:right w:w="85" w:type="dxa"/>
            </w:tcMar>
            <w:shd w:fill="FFFFFF"/>
          </w:tcPr>
          <w:p>
            <w:pPr>
              <w:spacing w:after="40" w:before="20" w:line="252" w:lineRule="auto"/>
            </w:pPr>
            <w:r>
              <w:rPr>
                <w:rFonts w:ascii="Arial" w:hAnsi="Arial"/>
                <w:sz w:val="20"/>
              </w:rPr>
              <w:t>Confirm the formal curriculum, learning support, evidence and qualification assessment requirements.</w:t>
            </w:r>
          </w:p>
        </w:tc>
      </w:tr>
    </w:tbl>
    <w:p>
      <w:pPr>
        <w:spacing w:after="0"/>
      </w:pPr>
      <w:r>
        <w:rPr>
          <w:b w:val="0"/>
        </w:rPr>
      </w:r>
    </w:p>
    <w:p>
      <w:pPr>
        <w:pStyle w:val="Heading2"/>
      </w:pPr>
      <w:r>
        <w:t>Ask for help early</w:t>
      </w:r>
    </w:p>
    <w:p>
      <w:r>
        <w:rPr>
          <w:b w:val="0"/>
        </w:rPr>
        <w:t>Identify the supervising registrant before each session. Pause an unfamiliar or unsafe task and ask for a demonstration or clarification. If the supervisor is unavailable, contact the deputy or treating clinician and wait for suitable supervision. Report errors, near misses, safeguarding concerns and equipment faults promptly through the local route.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32"/>
        <w:gridCol w:w="7848"/>
      </w:tblGrid>
      <w:tr>
        <w:trPr>
          <w:tblHeader/>
          <w:cantSplit/>
        </w:trPr>
        <w:tc>
          <w:tcPr>
            <w:tcW w:type="dxa" w:w="2232"/>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Period</w:t>
            </w:r>
          </w:p>
        </w:tc>
        <w:tc>
          <w:tcPr>
            <w:tcW w:type="dxa" w:w="7848"/>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Development focus</w:t>
            </w:r>
          </w:p>
        </w:tc>
      </w:tr>
      <w:tr>
        <w:trPr>
          <w:cantSplit/>
        </w:trPr>
        <w:tc>
          <w:tcPr>
            <w:tcW w:type="dxa" w:w="2232"/>
            <w:vAlign w:val="center"/>
            <w:tcMar>
              <w:top w:w="85" w:type="dxa"/>
              <w:left w:w="85" w:type="dxa"/>
              <w:bottom w:w="85" w:type="dxa"/>
              <w:right w:w="85" w:type="dxa"/>
            </w:tcMar>
            <w:shd w:fill="FFFFFF"/>
          </w:tcPr>
          <w:p>
            <w:pPr>
              <w:spacing w:after="40" w:before="20" w:line="252" w:lineRule="auto"/>
            </w:pPr>
            <w:r>
              <w:rPr>
                <w:rFonts w:ascii="Arial" w:hAnsi="Arial"/>
                <w:sz w:val="20"/>
              </w:rPr>
              <w:t>Months 4 to 6</w:t>
            </w:r>
          </w:p>
        </w:tc>
        <w:tc>
          <w:tcPr>
            <w:tcW w:type="dxa" w:w="7848"/>
            <w:vAlign w:val="center"/>
            <w:tcMar>
              <w:top w:w="85" w:type="dxa"/>
              <w:left w:w="85" w:type="dxa"/>
              <w:bottom w:w="85" w:type="dxa"/>
              <w:right w:w="85" w:type="dxa"/>
            </w:tcMar>
            <w:shd w:fill="FFFFFF"/>
          </w:tcPr>
          <w:p>
            <w:pPr>
              <w:spacing w:after="40" w:before="20" w:line="252" w:lineRule="auto"/>
            </w:pPr>
            <w:r>
              <w:rPr>
                <w:rFonts w:ascii="Arial" w:hAnsi="Arial"/>
                <w:sz w:val="20"/>
              </w:rPr>
              <w:t>Consolidate routine charting and chairside support; broaden defined crown, periodontal, endodontic and extraction tasks.</w:t>
            </w:r>
          </w:p>
        </w:tc>
      </w:tr>
      <w:tr>
        <w:trPr>
          <w:cantSplit/>
        </w:trPr>
        <w:tc>
          <w:tcPr>
            <w:tcW w:type="dxa" w:w="2232"/>
            <w:vAlign w:val="center"/>
            <w:tcMar>
              <w:top w:w="85" w:type="dxa"/>
              <w:left w:w="85" w:type="dxa"/>
              <w:bottom w:w="85" w:type="dxa"/>
              <w:right w:w="85" w:type="dxa"/>
            </w:tcMar>
            <w:shd w:fill="F4F4F4"/>
          </w:tcPr>
          <w:p>
            <w:pPr>
              <w:spacing w:after="40" w:before="20" w:line="252" w:lineRule="auto"/>
            </w:pPr>
            <w:r>
              <w:rPr>
                <w:rFonts w:ascii="Arial" w:hAnsi="Arial"/>
                <w:sz w:val="20"/>
              </w:rPr>
              <w:t>Months 7 to 9</w:t>
            </w:r>
          </w:p>
        </w:tc>
        <w:tc>
          <w:tcPr>
            <w:tcW w:type="dxa" w:w="7848"/>
            <w:vAlign w:val="center"/>
            <w:tcMar>
              <w:top w:w="85" w:type="dxa"/>
              <w:left w:w="85" w:type="dxa"/>
              <w:bottom w:w="85" w:type="dxa"/>
              <w:right w:w="85" w:type="dxa"/>
            </w:tcMar>
            <w:shd w:fill="F4F4F4"/>
          </w:tcPr>
          <w:p>
            <w:pPr>
              <w:spacing w:after="40" w:before="20" w:line="252" w:lineRule="auto"/>
            </w:pPr>
            <w:r>
              <w:rPr>
                <w:rFonts w:ascii="Arial" w:hAnsi="Arial"/>
                <w:sz w:val="20"/>
              </w:rPr>
              <w:t>Gain experience with different clinicians and patient needs. Complete local induction before working at another site.</w:t>
            </w:r>
          </w:p>
        </w:tc>
      </w:tr>
      <w:tr>
        <w:trPr>
          <w:cantSplit/>
        </w:trPr>
        <w:tc>
          <w:tcPr>
            <w:tcW w:type="dxa" w:w="2232"/>
            <w:vAlign w:val="center"/>
            <w:tcMar>
              <w:top w:w="85" w:type="dxa"/>
              <w:left w:w="85" w:type="dxa"/>
              <w:bottom w:w="85" w:type="dxa"/>
              <w:right w:w="85" w:type="dxa"/>
            </w:tcMar>
            <w:shd w:fill="FFFFFF"/>
          </w:tcPr>
          <w:p>
            <w:pPr>
              <w:spacing w:after="40" w:before="20" w:line="252" w:lineRule="auto"/>
            </w:pPr>
            <w:r>
              <w:rPr>
                <w:rFonts w:ascii="Arial" w:hAnsi="Arial"/>
                <w:sz w:val="20"/>
              </w:rPr>
              <w:t>Months 10 to 12</w:t>
            </w:r>
          </w:p>
        </w:tc>
        <w:tc>
          <w:tcPr>
            <w:tcW w:type="dxa" w:w="7848"/>
            <w:vAlign w:val="center"/>
            <w:tcMar>
              <w:top w:w="85" w:type="dxa"/>
              <w:left w:w="85" w:type="dxa"/>
              <w:bottom w:w="85" w:type="dxa"/>
              <w:right w:w="85" w:type="dxa"/>
            </w:tcMar>
            <w:shd w:fill="FFFFFF"/>
          </w:tcPr>
          <w:p>
            <w:pPr>
              <w:spacing w:after="40" w:before="20" w:line="252" w:lineRule="auto"/>
            </w:pPr>
            <w:r>
              <w:rPr>
                <w:rFonts w:ascii="Arial" w:hAnsi="Arial"/>
                <w:sz w:val="20"/>
              </w:rPr>
              <w:t>Cover provider curriculum gaps, improve records and organisation, and contribute to a defined stock or equipment task under supervision.</w:t>
            </w:r>
          </w:p>
        </w:tc>
      </w:tr>
      <w:tr>
        <w:trPr>
          <w:cantSplit/>
        </w:trPr>
        <w:tc>
          <w:tcPr>
            <w:tcW w:type="dxa" w:w="2232"/>
            <w:vAlign w:val="center"/>
            <w:tcMar>
              <w:top w:w="85" w:type="dxa"/>
              <w:left w:w="85" w:type="dxa"/>
              <w:bottom w:w="85" w:type="dxa"/>
              <w:right w:w="85" w:type="dxa"/>
            </w:tcMar>
            <w:shd w:fill="F4F4F4"/>
          </w:tcPr>
          <w:p>
            <w:pPr>
              <w:spacing w:after="40" w:before="20" w:line="252" w:lineRule="auto"/>
            </w:pPr>
            <w:r>
              <w:rPr>
                <w:rFonts w:ascii="Arial" w:hAnsi="Arial"/>
                <w:sz w:val="20"/>
              </w:rPr>
              <w:t>Months 13 to 18 and completion</w:t>
            </w:r>
          </w:p>
        </w:tc>
        <w:tc>
          <w:tcPr>
            <w:tcW w:type="dxa" w:w="7848"/>
            <w:vAlign w:val="center"/>
            <w:tcMar>
              <w:top w:w="85" w:type="dxa"/>
              <w:left w:w="85" w:type="dxa"/>
              <w:bottom w:w="85" w:type="dxa"/>
              <w:right w:w="85" w:type="dxa"/>
            </w:tcMar>
            <w:shd w:fill="F4F4F4"/>
          </w:tcPr>
          <w:p>
            <w:pPr>
              <w:spacing w:after="40" w:before="20" w:line="252" w:lineRule="auto"/>
            </w:pPr>
            <w:r>
              <w:rPr>
                <w:rFonts w:ascii="Arial" w:hAnsi="Arial"/>
                <w:sz w:val="20"/>
              </w:rPr>
              <w:t>Complete outstanding practical experience and qualification assessments, then confirm registration and role arrangements.</w:t>
            </w:r>
          </w:p>
        </w:tc>
      </w:tr>
    </w:tbl>
    <w:p>
      <w:pPr>
        <w:spacing w:after="0"/>
      </w:pPr>
      <w:r>
        <w:rPr>
          <w:b w:val="0"/>
        </w:rPr>
      </w:r>
    </w:p>
    <w:p>
      <w:r>
        <w:rPr>
          <w:b w:val="0"/>
        </w:rPr>
        <w:t>The current Dental Nurse ST1431 version 2.0 standard lists a typical 18 months excluding assessment. The provider confirms individual dates and requirements. Qualification, apprenticeship completion and GDC registration must be checked before changing to a registered role.</w:t>
      </w:r>
    </w:p>
    <w:p>
      <w:r>
        <w:rPr>
          <w:b w:val="0"/>
        </w:rPr>
        <w:t>Radiography, actual patient scanning, impressions, fluoride application, sedation and other additional activities require separate checks of role, training, legal requirements, consent, insurance and supervision.</w:t>
      </w:r>
    </w:p>
    <w:p>
      <w:pPr>
        <w:spacing w:after="140"/>
      </w:pPr>
      <w:r>
        <w:t xml:space="preserve">Read: </w:t>
      </w:r>
      <w:hyperlink r:id="rId62">
        <w:r>
          <w:rPr>
            <w:color w:val="205781"/>
            <w:sz w:val="20"/>
          </w:rPr>
          <w:t>Skills England Dental Nurse standard</w:t>
        </w:r>
      </w:hyperlink>
    </w:p>
    <w:p>
      <w:pPr>
        <w:spacing w:after="140"/>
      </w:pPr>
      <w:r>
        <w:t xml:space="preserve">Read: </w:t>
      </w:r>
      <w:hyperlink r:id="rId63">
        <w:r>
          <w:rPr>
            <w:color w:val="205781"/>
            <w:sz w:val="20"/>
          </w:rPr>
          <w:t>GDC Scope of practice</w:t>
        </w:r>
      </w:hyperlink>
    </w:p>
    <w:p>
      <w:pPr>
        <w:pStyle w:val="Heading1"/>
        <w:pageBreakBefore/>
      </w:pPr>
      <w:r>
        <w:t>Learning and task record</w:t>
      </w:r>
    </w:p>
    <w:p>
      <w:r>
        <w:rPr>
          <w:b w:val="0"/>
        </w:rPr>
        <w:t>Use one record per learner. Mark T when taught, P for supervised practice and D when the learner has demonstrated the defined task to the required standard. Record dates and the linked assessment. A demonstrated task remains subject to trainee supervision and any written limits.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400"/>
        <w:gridCol w:w="2088"/>
        <w:gridCol w:w="2592"/>
      </w:tblGrid>
      <w:tr>
        <w:trPr>
          <w:tblHeader/>
          <w:cantSplit/>
        </w:trPr>
        <w:tc>
          <w:tcPr>
            <w:tcW w:type="dxa" w:w="5400"/>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19"/>
              </w:rPr>
              <w:t>Learning or task</w:t>
            </w:r>
          </w:p>
        </w:tc>
        <w:tc>
          <w:tcPr>
            <w:tcW w:type="dxa" w:w="2088"/>
            <w:vAlign w:val="center"/>
            <w:tcMar>
              <w:top w:w="85" w:type="dxa"/>
              <w:left w:w="85" w:type="dxa"/>
              <w:bottom w:w="85" w:type="dxa"/>
              <w:right w:w="85" w:type="dxa"/>
            </w:tcMar>
            <w:shd w:fill="333333"/>
          </w:tcPr>
          <w:p>
            <w:pPr>
              <w:spacing w:after="40" w:before="20" w:line="252" w:lineRule="auto"/>
            </w:pPr>
            <w:r>
              <w:rPr>
                <w:rFonts w:ascii="Arial" w:hAnsi="Arial"/>
                <w:b/>
                <w:color w:val="FFFFFF"/>
                <w:sz w:val="19"/>
              </w:rPr>
              <w:t>Target</w:t>
            </w:r>
          </w:p>
        </w:tc>
        <w:tc>
          <w:tcPr>
            <w:tcW w:type="dxa" w:w="2592"/>
            <w:vAlign w:val="center"/>
            <w:tcMar>
              <w:top w:w="85" w:type="dxa"/>
              <w:left w:w="85" w:type="dxa"/>
              <w:bottom w:w="85" w:type="dxa"/>
              <w:right w:w="85" w:type="dxa"/>
            </w:tcMar>
            <w:shd w:fill="333333"/>
          </w:tcPr>
          <w:p>
            <w:pPr>
              <w:spacing w:after="40" w:before="20" w:line="252" w:lineRule="auto"/>
            </w:pPr>
            <w:r>
              <w:rPr>
                <w:rFonts w:ascii="Arial" w:hAnsi="Arial"/>
                <w:b/>
                <w:color w:val="FFFFFF"/>
                <w:sz w:val="19"/>
              </w:rPr>
              <w:t>T P D and record</w:t>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Essential induction and routes for help</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Before duties</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Quadrants and permanent tooth numbers</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Week 1</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Tooth types and names</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Week 1</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Tooth anatomy</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Week 1</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Surfaces and surface combinations</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Week 1</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Five common findings and treatment status</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Week 2</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Local EXACT Base and planned entries</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Week 2</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BPE meaning and instructed entry</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Week 3</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6PPC meaning and instructed entry</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Week 3</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Filling and treatment explanations</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Week 4</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Instrument and tray recognition</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Weeks 1 to 4</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Patient communication and examination support</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Weeks 1 to 5</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Hand hygiene PPE and turnover</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Before relevant task</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Defined instrument processing tasks</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Before relevant task</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Restorative and periodontal support</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Weeks 6 to 8</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Crown laboratory RCT and extraction support</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Weeks 9 to 10</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Stock shared duties and handover</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Weeks 1 to 11</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Practical emergency role</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Early induction</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TRIOS model scanning and assistance</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Ad hoc</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4F4F4"/>
          </w:tcPr>
          <w:p>
            <w:pPr>
              <w:spacing w:after="40" w:before="20" w:line="252" w:lineRule="auto"/>
              <w:jc w:val="center"/>
            </w:pPr>
            <w:r>
              <w:rPr>
                <w:rFonts w:ascii="Arial" w:hAnsi="Arial"/>
                <w:sz w:val="19"/>
              </w:rPr>
              <w:t>TRIOS component care and calibration</w:t>
            </w:r>
          </w:p>
        </w:tc>
        <w:tc>
          <w:tcPr>
            <w:tcW w:type="dxa" w:w="2088"/>
            <w:vAlign w:val="center"/>
            <w:tcMar>
              <w:top w:w="85" w:type="dxa"/>
              <w:left w:w="85" w:type="dxa"/>
              <w:bottom w:w="85" w:type="dxa"/>
              <w:right w:w="85" w:type="dxa"/>
            </w:tcMar>
            <w:shd w:fill="F4F4F4"/>
          </w:tcPr>
          <w:p>
            <w:pPr>
              <w:spacing w:after="40" w:before="20" w:line="252" w:lineRule="auto"/>
            </w:pPr>
            <w:r>
              <w:rPr>
                <w:rFonts w:ascii="Arial" w:hAnsi="Arial"/>
                <w:sz w:val="19"/>
              </w:rPr>
              <w:t>Ad hoc</w:t>
            </w:r>
          </w:p>
        </w:tc>
        <w:tc>
          <w:tcPr>
            <w:tcW w:type="dxa" w:w="2592"/>
            <w:vAlign w:val="center"/>
            <w:tcMar>
              <w:top w:w="85" w:type="dxa"/>
              <w:left w:w="85" w:type="dxa"/>
              <w:bottom w:w="85" w:type="dxa"/>
              <w:right w:w="85" w:type="dxa"/>
            </w:tcMar>
            <w:shd w:fill="F4F4F4"/>
          </w:tcPr>
          <w:p>
            <w:pPr>
              <w:spacing w:after="40" w:before="20" w:line="252" w:lineRule="auto"/>
            </w:pPr>
            <w:r>
              <w:rPr>
                <w:rFonts w:ascii="Arial" w:hAnsi="Arial"/>
                <w:sz w:val="19"/>
              </w:rPr>
            </w:r>
          </w:p>
        </w:tc>
      </w:tr>
      <w:tr>
        <w:trPr>
          <w:cantSplit/>
        </w:trPr>
        <w:tc>
          <w:tcPr>
            <w:tcW w:type="dxa" w:w="5400"/>
            <w:vAlign w:val="center"/>
            <w:tcMar>
              <w:top w:w="85" w:type="dxa"/>
              <w:left w:w="85" w:type="dxa"/>
              <w:bottom w:w="85" w:type="dxa"/>
              <w:right w:w="85" w:type="dxa"/>
            </w:tcMar>
            <w:shd w:fill="FFFFFF"/>
          </w:tcPr>
          <w:p>
            <w:pPr>
              <w:spacing w:after="40" w:before="20" w:line="252" w:lineRule="auto"/>
              <w:jc w:val="center"/>
            </w:pPr>
            <w:r>
              <w:rPr>
                <w:rFonts w:ascii="Arial" w:hAnsi="Arial"/>
                <w:sz w:val="19"/>
              </w:rPr>
              <w:t>EMS setup care and fault response</w:t>
            </w:r>
          </w:p>
        </w:tc>
        <w:tc>
          <w:tcPr>
            <w:tcW w:type="dxa" w:w="2088"/>
            <w:vAlign w:val="center"/>
            <w:tcMar>
              <w:top w:w="85" w:type="dxa"/>
              <w:left w:w="85" w:type="dxa"/>
              <w:bottom w:w="85" w:type="dxa"/>
              <w:right w:w="85" w:type="dxa"/>
            </w:tcMar>
            <w:shd w:fill="FFFFFF"/>
          </w:tcPr>
          <w:p>
            <w:pPr>
              <w:spacing w:after="40" w:before="20" w:line="252" w:lineRule="auto"/>
            </w:pPr>
            <w:r>
              <w:rPr>
                <w:rFonts w:ascii="Arial" w:hAnsi="Arial"/>
                <w:sz w:val="19"/>
              </w:rPr>
              <w:t>Ad hoc</w:t>
            </w:r>
          </w:p>
        </w:tc>
        <w:tc>
          <w:tcPr>
            <w:tcW w:type="dxa" w:w="2592"/>
            <w:vAlign w:val="center"/>
            <w:tcMar>
              <w:top w:w="85" w:type="dxa"/>
              <w:left w:w="85" w:type="dxa"/>
              <w:bottom w:w="85" w:type="dxa"/>
              <w:right w:w="85" w:type="dxa"/>
            </w:tcMar>
            <w:shd w:fill="FFFFFF"/>
          </w:tcPr>
          <w:p>
            <w:pPr>
              <w:spacing w:after="40" w:before="20" w:line="252" w:lineRule="auto"/>
            </w:pPr>
            <w:r>
              <w:rPr>
                <w:rFonts w:ascii="Arial" w:hAnsi="Arial"/>
                <w:sz w:val="19"/>
              </w:rPr>
            </w:r>
          </w:p>
        </w:tc>
      </w:tr>
    </w:tbl>
    <w:p>
      <w:pPr>
        <w:spacing w:after="0"/>
      </w:pPr>
      <w:r>
        <w:rPr>
          <w:b w:val="0"/>
        </w:rPr>
      </w:r>
    </w:p>
    <w:p>
      <w:r>
        <w:rPr>
          <w:b w:val="0"/>
        </w:rPr>
        <w:t>Learner: __________________  Mentor: __________________  Date: __________</w:t>
      </w:r>
    </w:p>
    <w:p>
      <w:pPr>
        <w:spacing w:before="100"/>
      </w:pPr>
      <w:r>
        <w:rPr>
          <w:b w:val="0"/>
          <w:color w:val="444444"/>
          <w:sz w:val="19"/>
        </w:rPr>
        <w:t>Use separate assessment records for each device, processing stage or extended task. One signature does not authorise every part of a broad task group.</w:t>
      </w:r>
    </w:p>
    <w:p>
      <w:pPr>
        <w:pStyle w:val="Heading1"/>
        <w:pageBreakBefore/>
      </w:pPr>
      <w:r>
        <w:t>Practical task demonstration record</w:t>
      </w:r>
    </w:p>
    <w:p>
      <w:r>
        <w:rPr>
          <w:b w:val="0"/>
        </w:rPr>
        <w:t>Copy this page for each distinct task. Use approved anonymised references for clinical evidence. Keep simulated exercises separate from actual clinical competence evidence.</w:t>
      </w:r>
    </w:p>
    <w:p>
      <w:r>
        <w:rPr>
          <w:b w:val="0"/>
        </w:rPr>
        <w:t>Learner: __________________________  Date: __________________________</w:t>
      </w:r>
    </w:p>
    <w:p>
      <w:r>
        <w:rPr>
          <w:b w:val="0"/>
        </w:rPr>
        <w:t>Assessor and role: __________________  GDC number: _________________</w:t>
      </w:r>
    </w:p>
    <w:p>
      <w:r>
        <w:rPr>
          <w:b/>
        </w:rPr>
        <w:t>Exact task and context including device model or software interface</w:t>
      </w:r>
    </w:p>
    <w:p>
      <w:r>
        <w:rPr>
          <w:b w:val="0"/>
        </w:rPr>
        <w:t>________________________________________________________________________________</w:t>
      </w:r>
    </w:p>
    <w:p>
      <w:r>
        <w:rPr>
          <w:b w:val="0"/>
        </w:rPr>
        <w:t>________________________________________________________________________________</w:t>
      </w:r>
    </w:p>
    <w:p>
      <w:r>
        <w:rPr>
          <w:b/>
        </w:rPr>
        <w:t>Prerequisites teaching and applicable procedure</w:t>
      </w:r>
    </w:p>
    <w:p>
      <w:r>
        <w:rPr>
          <w:b w:val="0"/>
        </w:rPr>
        <w:t>________________________________________________________________________________</w:t>
      </w:r>
    </w:p>
    <w:p>
      <w:r>
        <w:rPr>
          <w:b w:val="0"/>
        </w:rPr>
        <w:t>________________________________________________________________________________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368"/>
        <w:gridCol w:w="2448"/>
        <w:gridCol w:w="6264"/>
      </w:tblGrid>
      <w:tr>
        <w:trPr>
          <w:tblHeader/>
          <w:cantSplit/>
        </w:trPr>
        <w:tc>
          <w:tcPr>
            <w:tcW w:type="dxa" w:w="1368"/>
            <w:vAlign w:val="center"/>
            <w:tcMar>
              <w:top w:w="85" w:type="dxa"/>
              <w:left w:w="85" w:type="dxa"/>
              <w:bottom w:w="85" w:type="dxa"/>
              <w:right w:w="85" w:type="dxa"/>
            </w:tcMar>
            <w:shd w:fill="333333"/>
          </w:tcPr>
          <w:p>
            <w:pPr>
              <w:spacing w:after="40" w:before="20" w:line="252" w:lineRule="auto"/>
              <w:jc w:val="center"/>
            </w:pPr>
            <w:r>
              <w:rPr>
                <w:rFonts w:ascii="Arial" w:hAnsi="Arial"/>
                <w:b/>
                <w:color w:val="FFFFFF"/>
                <w:sz w:val="20"/>
              </w:rPr>
              <w:t>Observation</w:t>
            </w:r>
          </w:p>
        </w:tc>
        <w:tc>
          <w:tcPr>
            <w:tcW w:type="dxa" w:w="2448"/>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Date and context</w:t>
            </w:r>
          </w:p>
        </w:tc>
        <w:tc>
          <w:tcPr>
            <w:tcW w:type="dxa" w:w="6264"/>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Result and specific feedback</w:t>
            </w:r>
          </w:p>
        </w:tc>
      </w:tr>
      <w:tr>
        <w:trPr>
          <w:trHeight w:val="792" w:hRule="atLeast"/>
          <w:cantSplit/>
        </w:trPr>
        <w:tc>
          <w:tcPr>
            <w:tcW w:type="dxa" w:w="1368"/>
            <w:vAlign w:val="center"/>
            <w:tcMar>
              <w:top w:w="85" w:type="dxa"/>
              <w:left w:w="85" w:type="dxa"/>
              <w:bottom w:w="85" w:type="dxa"/>
              <w:right w:w="85" w:type="dxa"/>
            </w:tcMar>
            <w:shd w:fill="FFFFFF"/>
          </w:tcPr>
          <w:p>
            <w:pPr>
              <w:spacing w:after="40" w:before="20" w:line="252" w:lineRule="auto"/>
              <w:jc w:val="center"/>
            </w:pPr>
            <w:r>
              <w:rPr>
                <w:rFonts w:ascii="Arial" w:hAnsi="Arial"/>
                <w:sz w:val="20"/>
              </w:rPr>
              <w:t>1</w:t>
            </w:r>
          </w:p>
        </w:tc>
        <w:tc>
          <w:tcPr>
            <w:tcW w:type="dxa" w:w="2448"/>
            <w:vAlign w:val="center"/>
            <w:tcMar>
              <w:top w:w="85" w:type="dxa"/>
              <w:left w:w="85" w:type="dxa"/>
              <w:bottom w:w="85" w:type="dxa"/>
              <w:right w:w="85" w:type="dxa"/>
            </w:tcMar>
            <w:shd w:fill="FFFFFF"/>
          </w:tcPr>
          <w:p>
            <w:pPr>
              <w:spacing w:after="40" w:before="20" w:line="252" w:lineRule="auto"/>
            </w:pPr>
            <w:r>
              <w:rPr>
                <w:rFonts w:ascii="Arial" w:hAnsi="Arial"/>
                <w:sz w:val="20"/>
              </w:rPr>
            </w:r>
          </w:p>
        </w:tc>
        <w:tc>
          <w:tcPr>
            <w:tcW w:type="dxa" w:w="6264"/>
            <w:vAlign w:val="center"/>
            <w:tcMar>
              <w:top w:w="85" w:type="dxa"/>
              <w:left w:w="85" w:type="dxa"/>
              <w:bottom w:w="85" w:type="dxa"/>
              <w:right w:w="85" w:type="dxa"/>
            </w:tcMar>
            <w:shd w:fill="FFFFFF"/>
          </w:tcPr>
          <w:p>
            <w:pPr>
              <w:spacing w:after="40" w:before="20" w:line="252" w:lineRule="auto"/>
            </w:pPr>
            <w:r>
              <w:rPr>
                <w:rFonts w:ascii="Arial" w:hAnsi="Arial"/>
                <w:sz w:val="20"/>
              </w:rPr>
            </w:r>
          </w:p>
        </w:tc>
      </w:tr>
      <w:tr>
        <w:trPr>
          <w:trHeight w:val="792" w:hRule="atLeast"/>
          <w:cantSplit/>
        </w:trPr>
        <w:tc>
          <w:tcPr>
            <w:tcW w:type="dxa" w:w="1368"/>
            <w:vAlign w:val="center"/>
            <w:tcMar>
              <w:top w:w="85" w:type="dxa"/>
              <w:left w:w="85" w:type="dxa"/>
              <w:bottom w:w="85" w:type="dxa"/>
              <w:right w:w="85" w:type="dxa"/>
            </w:tcMar>
            <w:shd w:fill="F4F4F4"/>
          </w:tcPr>
          <w:p>
            <w:pPr>
              <w:spacing w:after="40" w:before="20" w:line="252" w:lineRule="auto"/>
              <w:jc w:val="center"/>
            </w:pPr>
            <w:r>
              <w:rPr>
                <w:rFonts w:ascii="Arial" w:hAnsi="Arial"/>
                <w:sz w:val="20"/>
              </w:rPr>
              <w:t>2</w:t>
            </w:r>
          </w:p>
        </w:tc>
        <w:tc>
          <w:tcPr>
            <w:tcW w:type="dxa" w:w="2448"/>
            <w:vAlign w:val="center"/>
            <w:tcMar>
              <w:top w:w="85" w:type="dxa"/>
              <w:left w:w="85" w:type="dxa"/>
              <w:bottom w:w="85" w:type="dxa"/>
              <w:right w:w="85" w:type="dxa"/>
            </w:tcMar>
            <w:shd w:fill="F4F4F4"/>
          </w:tcPr>
          <w:p>
            <w:pPr>
              <w:spacing w:after="40" w:before="20" w:line="252" w:lineRule="auto"/>
            </w:pPr>
            <w:r>
              <w:rPr>
                <w:rFonts w:ascii="Arial" w:hAnsi="Arial"/>
                <w:sz w:val="20"/>
              </w:rPr>
            </w:r>
          </w:p>
        </w:tc>
        <w:tc>
          <w:tcPr>
            <w:tcW w:type="dxa" w:w="6264"/>
            <w:vAlign w:val="center"/>
            <w:tcMar>
              <w:top w:w="85" w:type="dxa"/>
              <w:left w:w="85" w:type="dxa"/>
              <w:bottom w:w="85" w:type="dxa"/>
              <w:right w:w="85" w:type="dxa"/>
            </w:tcMar>
            <w:shd w:fill="F4F4F4"/>
          </w:tcPr>
          <w:p>
            <w:pPr>
              <w:spacing w:after="40" w:before="20" w:line="252" w:lineRule="auto"/>
            </w:pPr>
            <w:r>
              <w:rPr>
                <w:rFonts w:ascii="Arial" w:hAnsi="Arial"/>
                <w:sz w:val="20"/>
              </w:rPr>
            </w:r>
          </w:p>
        </w:tc>
      </w:tr>
      <w:tr>
        <w:trPr>
          <w:trHeight w:val="792" w:hRule="atLeast"/>
          <w:cantSplit/>
        </w:trPr>
        <w:tc>
          <w:tcPr>
            <w:tcW w:type="dxa" w:w="1368"/>
            <w:vAlign w:val="center"/>
            <w:tcMar>
              <w:top w:w="85" w:type="dxa"/>
              <w:left w:w="85" w:type="dxa"/>
              <w:bottom w:w="85" w:type="dxa"/>
              <w:right w:w="85" w:type="dxa"/>
            </w:tcMar>
            <w:shd w:fill="FFFFFF"/>
          </w:tcPr>
          <w:p>
            <w:pPr>
              <w:spacing w:after="40" w:before="20" w:line="252" w:lineRule="auto"/>
              <w:jc w:val="center"/>
            </w:pPr>
            <w:r>
              <w:rPr>
                <w:rFonts w:ascii="Arial" w:hAnsi="Arial"/>
                <w:sz w:val="20"/>
              </w:rPr>
              <w:t>3</w:t>
            </w:r>
          </w:p>
        </w:tc>
        <w:tc>
          <w:tcPr>
            <w:tcW w:type="dxa" w:w="2448"/>
            <w:vAlign w:val="center"/>
            <w:tcMar>
              <w:top w:w="85" w:type="dxa"/>
              <w:left w:w="85" w:type="dxa"/>
              <w:bottom w:w="85" w:type="dxa"/>
              <w:right w:w="85" w:type="dxa"/>
            </w:tcMar>
            <w:shd w:fill="FFFFFF"/>
          </w:tcPr>
          <w:p>
            <w:pPr>
              <w:spacing w:after="40" w:before="20" w:line="252" w:lineRule="auto"/>
            </w:pPr>
            <w:r>
              <w:rPr>
                <w:rFonts w:ascii="Arial" w:hAnsi="Arial"/>
                <w:sz w:val="20"/>
              </w:rPr>
            </w:r>
          </w:p>
        </w:tc>
        <w:tc>
          <w:tcPr>
            <w:tcW w:type="dxa" w:w="6264"/>
            <w:vAlign w:val="center"/>
            <w:tcMar>
              <w:top w:w="85" w:type="dxa"/>
              <w:left w:w="85" w:type="dxa"/>
              <w:bottom w:w="85" w:type="dxa"/>
              <w:right w:w="85" w:type="dxa"/>
            </w:tcMar>
            <w:shd w:fill="FFFFFF"/>
          </w:tcPr>
          <w:p>
            <w:pPr>
              <w:spacing w:after="40" w:before="20" w:line="252" w:lineRule="auto"/>
            </w:pPr>
            <w:r>
              <w:rPr>
                <w:rFonts w:ascii="Arial" w:hAnsi="Arial"/>
                <w:sz w:val="20"/>
              </w:rPr>
            </w:r>
          </w:p>
        </w:tc>
      </w:tr>
    </w:tbl>
    <w:p>
      <w:pPr>
        <w:spacing w:after="0"/>
      </w:pPr>
      <w:r>
        <w:rPr>
          <w:b w:val="0"/>
        </w:rPr>
      </w:r>
    </w:p>
    <w:p>
      <w:r>
        <w:rPr>
          <w:b/>
        </w:rPr>
        <w:t>Learner explanation of purpose hazards and when to stop</w:t>
      </w:r>
    </w:p>
    <w:p>
      <w:r>
        <w:rPr>
          <w:b w:val="0"/>
        </w:rPr>
        <w:t>________________________________________________________________________________</w:t>
      </w:r>
    </w:p>
    <w:p>
      <w:r>
        <w:rPr>
          <w:b w:val="0"/>
        </w:rPr>
        <w:t>________________________________________________________________________________</w:t>
      </w:r>
    </w:p>
    <w:p>
      <w:r>
        <w:rPr>
          <w:b/>
        </w:rPr>
        <w:t>Permitted task required direct supervision and remaining restrictions</w:t>
      </w:r>
    </w:p>
    <w:p>
      <w:r>
        <w:rPr>
          <w:b w:val="0"/>
        </w:rPr>
        <w:t>________________________________________________________________________________</w:t>
      </w:r>
    </w:p>
    <w:p>
      <w:r>
        <w:rPr>
          <w:b w:val="0"/>
        </w:rPr>
        <w:t>________________________________________________________________________________</w:t>
      </w:r>
    </w:p>
    <w:p>
      <w:r>
        <w:rPr>
          <w:b/>
        </w:rPr>
        <w:t>Further teaching or repeat demonstration needed</w:t>
      </w:r>
    </w:p>
    <w:p>
      <w:r>
        <w:rPr>
          <w:b w:val="0"/>
        </w:rPr>
        <w:t>________________________________________________________________________________</w:t>
      </w:r>
    </w:p>
    <w:p>
      <w:r>
        <w:rPr>
          <w:b w:val="0"/>
        </w:rPr>
        <w:t>Assessor signature: __________________________  Date: ______________</w:t>
      </w:r>
    </w:p>
    <w:p>
      <w:r>
        <w:rPr>
          <w:b w:val="0"/>
        </w:rPr>
        <w:t>Supervising registrant confirmation: _______________________________</w:t>
      </w:r>
    </w:p>
    <w:p>
      <w:r>
        <w:rPr>
          <w:b w:val="0"/>
        </w:rPr>
        <w:t>Learner acknowledgement: ________________________________________</w:t>
      </w:r>
    </w:p>
    <w:p>
      <w:pPr>
        <w:spacing w:before="100"/>
      </w:pPr>
      <w:r>
        <w:rPr>
          <w:b w:val="0"/>
          <w:color w:val="444444"/>
          <w:sz w:val="19"/>
        </w:rPr>
        <w:t>Use enough observations to establish consistent safe performance; add sheets when needed. A course attendance record or video viewing alone is insufficient. Repeat teaching after a change, error or other reason to doubt competence.</w:t>
      </w:r>
    </w:p>
    <w:p>
      <w:pPr>
        <w:pStyle w:val="Heading1"/>
        <w:pageBreakBefore/>
      </w:pPr>
      <w:r>
        <w:t>Daily duty allocation and handover</w:t>
      </w:r>
    </w:p>
    <w:p>
      <w:r>
        <w:rPr>
          <w:b w:val="0"/>
        </w:rPr>
        <w:t>Use alongside the practice’s clinical and equipment logs to allocate shared duties and prevent unfinished work being left without an owner. Mark N/A for duties not allocated on this shift.</w:t>
      </w:r>
    </w:p>
    <w:p>
      <w:r>
        <w:rPr>
          <w:b w:val="0"/>
        </w:rPr>
        <w:t>Date: __________  Learner: __________________  Supervisor: ____________</w:t>
      </w:r>
    </w:p>
    <w:p>
      <w:r>
        <w:rPr>
          <w:b w:val="0"/>
        </w:rPr>
        <w:t>Surgery or session: ______________  Allocated clinician: ______________</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616"/>
        <w:gridCol w:w="4464"/>
      </w:tblGrid>
      <w:tr>
        <w:trPr>
          <w:tblHeader/>
          <w:cantSplit/>
        </w:trPr>
        <w:tc>
          <w:tcPr>
            <w:tcW w:type="dxa" w:w="5616"/>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Allocated duty within current competence</w:t>
            </w:r>
          </w:p>
        </w:tc>
        <w:tc>
          <w:tcPr>
            <w:tcW w:type="dxa" w:w="4464"/>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Completed or handed over</w:t>
            </w:r>
          </w:p>
        </w:tc>
      </w:tr>
      <w:tr>
        <w:trPr>
          <w:trHeight w:val="547" w:hRule="atLeast"/>
          <w:cantSplit/>
        </w:trPr>
        <w:tc>
          <w:tcPr>
            <w:tcW w:type="dxa" w:w="5616"/>
            <w:vAlign w:val="center"/>
            <w:tcMar>
              <w:top w:w="85" w:type="dxa"/>
              <w:left w:w="85" w:type="dxa"/>
              <w:bottom w:w="85" w:type="dxa"/>
              <w:right w:w="85" w:type="dxa"/>
            </w:tcMar>
            <w:shd w:fill="FFFFFF"/>
          </w:tcPr>
          <w:p>
            <w:pPr>
              <w:spacing w:after="40" w:before="20" w:line="252" w:lineRule="auto"/>
            </w:pPr>
            <w:r>
              <w:rPr>
                <w:rFonts w:ascii="Arial" w:hAnsi="Arial"/>
                <w:sz w:val="21"/>
              </w:rPr>
              <w:t>Surgery preparation and taught checks</w:t>
            </w:r>
          </w:p>
        </w:tc>
        <w:tc>
          <w:tcPr>
            <w:tcW w:type="dxa" w:w="4464"/>
            <w:vAlign w:val="center"/>
            <w:tcMar>
              <w:top w:w="85" w:type="dxa"/>
              <w:left w:w="85" w:type="dxa"/>
              <w:bottom w:w="85" w:type="dxa"/>
              <w:right w:w="85" w:type="dxa"/>
            </w:tcMar>
            <w:shd w:fill="FFFFFF"/>
          </w:tcPr>
          <w:p>
            <w:pPr>
              <w:spacing w:after="40" w:before="20" w:line="252" w:lineRule="auto"/>
            </w:pPr>
            <w:r>
              <w:rPr>
                <w:rFonts w:ascii="Arial" w:hAnsi="Arial"/>
                <w:sz w:val="21"/>
              </w:rPr>
            </w:r>
          </w:p>
        </w:tc>
      </w:tr>
      <w:tr>
        <w:trPr>
          <w:trHeight w:val="547" w:hRule="atLeast"/>
          <w:cantSplit/>
        </w:trPr>
        <w:tc>
          <w:tcPr>
            <w:tcW w:type="dxa" w:w="5616"/>
            <w:vAlign w:val="center"/>
            <w:tcMar>
              <w:top w:w="85" w:type="dxa"/>
              <w:left w:w="85" w:type="dxa"/>
              <w:bottom w:w="85" w:type="dxa"/>
              <w:right w:w="85" w:type="dxa"/>
            </w:tcMar>
            <w:shd w:fill="F4F4F4"/>
          </w:tcPr>
          <w:p>
            <w:pPr>
              <w:spacing w:after="40" w:before="20" w:line="252" w:lineRule="auto"/>
            </w:pPr>
            <w:r>
              <w:rPr>
                <w:rFonts w:ascii="Arial" w:hAnsi="Arial"/>
                <w:sz w:val="21"/>
              </w:rPr>
              <w:t>Chairside support and turnover</w:t>
            </w:r>
          </w:p>
        </w:tc>
        <w:tc>
          <w:tcPr>
            <w:tcW w:type="dxa" w:w="4464"/>
            <w:vAlign w:val="center"/>
            <w:tcMar>
              <w:top w:w="85" w:type="dxa"/>
              <w:left w:w="85" w:type="dxa"/>
              <w:bottom w:w="85" w:type="dxa"/>
              <w:right w:w="85" w:type="dxa"/>
            </w:tcMar>
            <w:shd w:fill="F4F4F4"/>
          </w:tcPr>
          <w:p>
            <w:pPr>
              <w:spacing w:after="40" w:before="20" w:line="252" w:lineRule="auto"/>
            </w:pPr>
            <w:r>
              <w:rPr>
                <w:rFonts w:ascii="Arial" w:hAnsi="Arial"/>
                <w:sz w:val="21"/>
              </w:rPr>
            </w:r>
          </w:p>
        </w:tc>
      </w:tr>
      <w:tr>
        <w:trPr>
          <w:trHeight w:val="547" w:hRule="atLeast"/>
          <w:cantSplit/>
        </w:trPr>
        <w:tc>
          <w:tcPr>
            <w:tcW w:type="dxa" w:w="5616"/>
            <w:vAlign w:val="center"/>
            <w:tcMar>
              <w:top w:w="85" w:type="dxa"/>
              <w:left w:w="85" w:type="dxa"/>
              <w:bottom w:w="85" w:type="dxa"/>
              <w:right w:w="85" w:type="dxa"/>
            </w:tcMar>
            <w:shd w:fill="FFFFFF"/>
          </w:tcPr>
          <w:p>
            <w:pPr>
              <w:spacing w:after="40" w:before="20" w:line="252" w:lineRule="auto"/>
            </w:pPr>
            <w:r>
              <w:rPr>
                <w:rFonts w:ascii="Arial" w:hAnsi="Arial"/>
                <w:sz w:val="21"/>
              </w:rPr>
              <w:t>Defined instrument processing tasks</w:t>
            </w:r>
          </w:p>
        </w:tc>
        <w:tc>
          <w:tcPr>
            <w:tcW w:type="dxa" w:w="4464"/>
            <w:vAlign w:val="center"/>
            <w:tcMar>
              <w:top w:w="85" w:type="dxa"/>
              <w:left w:w="85" w:type="dxa"/>
              <w:bottom w:w="85" w:type="dxa"/>
              <w:right w:w="85" w:type="dxa"/>
            </w:tcMar>
            <w:shd w:fill="FFFFFF"/>
          </w:tcPr>
          <w:p>
            <w:pPr>
              <w:spacing w:after="40" w:before="20" w:line="252" w:lineRule="auto"/>
            </w:pPr>
            <w:r>
              <w:rPr>
                <w:rFonts w:ascii="Arial" w:hAnsi="Arial"/>
                <w:sz w:val="21"/>
              </w:rPr>
            </w:r>
          </w:p>
        </w:tc>
      </w:tr>
      <w:tr>
        <w:trPr>
          <w:trHeight w:val="547" w:hRule="atLeast"/>
          <w:cantSplit/>
        </w:trPr>
        <w:tc>
          <w:tcPr>
            <w:tcW w:type="dxa" w:w="5616"/>
            <w:vAlign w:val="center"/>
            <w:tcMar>
              <w:top w:w="85" w:type="dxa"/>
              <w:left w:w="85" w:type="dxa"/>
              <w:bottom w:w="85" w:type="dxa"/>
              <w:right w:w="85" w:type="dxa"/>
            </w:tcMar>
            <w:shd w:fill="F4F4F4"/>
          </w:tcPr>
          <w:p>
            <w:pPr>
              <w:spacing w:after="40" w:before="20" w:line="252" w:lineRule="auto"/>
            </w:pPr>
            <w:r>
              <w:rPr>
                <w:rFonts w:ascii="Arial" w:hAnsi="Arial"/>
                <w:sz w:val="21"/>
              </w:rPr>
              <w:t>Stock expiry or shortage reporting</w:t>
            </w:r>
          </w:p>
        </w:tc>
        <w:tc>
          <w:tcPr>
            <w:tcW w:type="dxa" w:w="4464"/>
            <w:vAlign w:val="center"/>
            <w:tcMar>
              <w:top w:w="85" w:type="dxa"/>
              <w:left w:w="85" w:type="dxa"/>
              <w:bottom w:w="85" w:type="dxa"/>
              <w:right w:w="85" w:type="dxa"/>
            </w:tcMar>
            <w:shd w:fill="F4F4F4"/>
          </w:tcPr>
          <w:p>
            <w:pPr>
              <w:spacing w:after="40" w:before="20" w:line="252" w:lineRule="auto"/>
            </w:pPr>
            <w:r>
              <w:rPr>
                <w:rFonts w:ascii="Arial" w:hAnsi="Arial"/>
                <w:sz w:val="21"/>
              </w:rPr>
            </w:r>
          </w:p>
        </w:tc>
      </w:tr>
      <w:tr>
        <w:trPr>
          <w:trHeight w:val="547" w:hRule="atLeast"/>
          <w:cantSplit/>
        </w:trPr>
        <w:tc>
          <w:tcPr>
            <w:tcW w:type="dxa" w:w="5616"/>
            <w:vAlign w:val="center"/>
            <w:tcMar>
              <w:top w:w="85" w:type="dxa"/>
              <w:left w:w="85" w:type="dxa"/>
              <w:bottom w:w="85" w:type="dxa"/>
              <w:right w:w="85" w:type="dxa"/>
            </w:tcMar>
            <w:shd w:fill="FFFFFF"/>
          </w:tcPr>
          <w:p>
            <w:pPr>
              <w:spacing w:after="40" w:before="20" w:line="252" w:lineRule="auto"/>
            </w:pPr>
            <w:r>
              <w:rPr>
                <w:rFonts w:ascii="Arial" w:hAnsi="Arial"/>
                <w:sz w:val="21"/>
              </w:rPr>
              <w:t>Shared cleaning and agreed duties</w:t>
            </w:r>
          </w:p>
        </w:tc>
        <w:tc>
          <w:tcPr>
            <w:tcW w:type="dxa" w:w="4464"/>
            <w:vAlign w:val="center"/>
            <w:tcMar>
              <w:top w:w="85" w:type="dxa"/>
              <w:left w:w="85" w:type="dxa"/>
              <w:bottom w:w="85" w:type="dxa"/>
              <w:right w:w="85" w:type="dxa"/>
            </w:tcMar>
            <w:shd w:fill="FFFFFF"/>
          </w:tcPr>
          <w:p>
            <w:pPr>
              <w:spacing w:after="40" w:before="20" w:line="252" w:lineRule="auto"/>
            </w:pPr>
            <w:r>
              <w:rPr>
                <w:rFonts w:ascii="Arial" w:hAnsi="Arial"/>
                <w:sz w:val="21"/>
              </w:rPr>
            </w:r>
          </w:p>
        </w:tc>
      </w:tr>
      <w:tr>
        <w:trPr>
          <w:trHeight w:val="547" w:hRule="atLeast"/>
          <w:cantSplit/>
        </w:trPr>
        <w:tc>
          <w:tcPr>
            <w:tcW w:type="dxa" w:w="5616"/>
            <w:vAlign w:val="center"/>
            <w:tcMar>
              <w:top w:w="85" w:type="dxa"/>
              <w:left w:w="85" w:type="dxa"/>
              <w:bottom w:w="85" w:type="dxa"/>
              <w:right w:w="85" w:type="dxa"/>
            </w:tcMar>
            <w:shd w:fill="F4F4F4"/>
          </w:tcPr>
          <w:p>
            <w:pPr>
              <w:spacing w:after="40" w:before="20" w:line="252" w:lineRule="auto"/>
            </w:pPr>
            <w:r>
              <w:rPr>
                <w:rFonts w:ascii="Arial" w:hAnsi="Arial"/>
                <w:sz w:val="21"/>
              </w:rPr>
              <w:t>Closing tasks and required records</w:t>
            </w:r>
          </w:p>
        </w:tc>
        <w:tc>
          <w:tcPr>
            <w:tcW w:type="dxa" w:w="4464"/>
            <w:vAlign w:val="center"/>
            <w:tcMar>
              <w:top w:w="85" w:type="dxa"/>
              <w:left w:w="85" w:type="dxa"/>
              <w:bottom w:w="85" w:type="dxa"/>
              <w:right w:w="85" w:type="dxa"/>
            </w:tcMar>
            <w:shd w:fill="F4F4F4"/>
          </w:tcPr>
          <w:p>
            <w:pPr>
              <w:spacing w:after="40" w:before="20" w:line="252" w:lineRule="auto"/>
            </w:pPr>
            <w:r>
              <w:rPr>
                <w:rFonts w:ascii="Arial" w:hAnsi="Arial"/>
                <w:sz w:val="21"/>
              </w:rPr>
            </w:r>
          </w:p>
        </w:tc>
      </w:tr>
    </w:tbl>
    <w:p>
      <w:pPr>
        <w:spacing w:after="0"/>
      </w:pPr>
      <w:r>
        <w:rPr>
          <w:b w:val="0"/>
        </w:rPr>
      </w:r>
    </w:p>
    <w:p>
      <w:pPr>
        <w:pStyle w:val="Heading2"/>
      </w:pPr>
      <w:r>
        <w:t>Handover</w:t>
      </w:r>
    </w:p>
    <w:p>
      <w:r>
        <w:rPr>
          <w:b/>
        </w:rPr>
        <w:t>Completed</w:t>
      </w:r>
    </w:p>
    <w:p>
      <w:r>
        <w:rPr>
          <w:b w:val="0"/>
        </w:rPr>
        <w:t>________________________________________________________________________________</w:t>
      </w:r>
    </w:p>
    <w:p>
      <w:r>
        <w:rPr>
          <w:b/>
        </w:rPr>
        <w:t>Outstanding work and reason or help required</w:t>
      </w:r>
    </w:p>
    <w:p>
      <w:r>
        <w:rPr>
          <w:b w:val="0"/>
        </w:rPr>
        <w:t>________________________________________________________________________________</w:t>
      </w:r>
    </w:p>
    <w:p>
      <w:r>
        <w:rPr>
          <w:b w:val="0"/>
        </w:rPr>
        <w:t>________________________________________________________________________________</w:t>
      </w:r>
    </w:p>
    <w:p>
      <w:r>
        <w:rPr>
          <w:b w:val="0"/>
        </w:rPr>
        <w:t>Handed to: __________________________  Time: _____________________</w:t>
      </w:r>
    </w:p>
    <w:p>
      <w:r>
        <w:rPr>
          <w:b w:val="0"/>
        </w:rPr>
        <w:t>Safety issue escalated to: __________________  Time: _______________</w:t>
      </w:r>
    </w:p>
    <w:p>
      <w:r>
        <w:rPr>
          <w:b w:val="0"/>
        </w:rPr>
        <w:t>Complete work and handovers within the agreed working arrangements. Raise an overrun early, report unfinished tasks and agree a named person to take over. Ask for the next appropriate task when your allocated work is complete.</w:t>
      </w:r>
    </w:p>
    <w:p>
      <w:pPr>
        <w:pStyle w:val="Heading1"/>
        <w:pageBreakBefore/>
      </w:pPr>
      <w:r>
        <w:t>Practice exercises and answer guide</w:t>
      </w:r>
    </w:p>
    <w:p>
      <w:pPr>
        <w:pStyle w:val="Heading2"/>
      </w:pPr>
      <w:r>
        <w:t>Tooth and surface exercise</w:t>
      </w:r>
    </w:p>
    <w:p>
      <w:r>
        <w:rPr>
          <w:b w:val="0"/>
        </w:rPr>
        <w:t>Say the full tooth name and surface for each entry before checking the answer. Then locate it on a model.</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16"/>
        <w:gridCol w:w="8064"/>
      </w:tblGrid>
      <w:tr>
        <w:trPr>
          <w:tblHeader/>
          <w:cantSplit/>
        </w:trPr>
        <w:tc>
          <w:tcPr>
            <w:tcW w:type="dxa" w:w="2016"/>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Entry</w:t>
            </w:r>
          </w:p>
        </w:tc>
        <w:tc>
          <w:tcPr>
            <w:tcW w:type="dxa" w:w="8064"/>
            <w:vAlign w:val="center"/>
            <w:tcMar>
              <w:top w:w="85" w:type="dxa"/>
              <w:left w:w="85" w:type="dxa"/>
              <w:bottom w:w="85" w:type="dxa"/>
              <w:right w:w="85" w:type="dxa"/>
            </w:tcMar>
            <w:shd w:fill="333333"/>
          </w:tcPr>
          <w:p>
            <w:pPr>
              <w:spacing w:after="40" w:before="20" w:line="252" w:lineRule="auto"/>
            </w:pPr>
            <w:r>
              <w:rPr>
                <w:rFonts w:ascii="Arial" w:hAnsi="Arial"/>
                <w:b/>
                <w:color w:val="FFFFFF"/>
                <w:sz w:val="21"/>
              </w:rPr>
              <w:t>Answer</w:t>
            </w:r>
          </w:p>
        </w:tc>
      </w:tr>
      <w:tr>
        <w:trPr>
          <w:cantSplit/>
        </w:trPr>
        <w:tc>
          <w:tcPr>
            <w:tcW w:type="dxa" w:w="2016"/>
            <w:vAlign w:val="center"/>
            <w:tcMar>
              <w:top w:w="85" w:type="dxa"/>
              <w:left w:w="85" w:type="dxa"/>
              <w:bottom w:w="85" w:type="dxa"/>
              <w:right w:w="85" w:type="dxa"/>
            </w:tcMar>
            <w:shd w:fill="FFFFFF"/>
          </w:tcPr>
          <w:p>
            <w:pPr>
              <w:spacing w:after="40" w:before="20" w:line="252" w:lineRule="auto"/>
            </w:pPr>
            <w:r>
              <w:rPr>
                <w:rFonts w:ascii="Arial" w:hAnsi="Arial"/>
                <w:sz w:val="21"/>
              </w:rPr>
              <w:t>UR6 O</w:t>
            </w:r>
          </w:p>
        </w:tc>
        <w:tc>
          <w:tcPr>
            <w:tcW w:type="dxa" w:w="8064"/>
            <w:vAlign w:val="center"/>
            <w:tcMar>
              <w:top w:w="85" w:type="dxa"/>
              <w:left w:w="85" w:type="dxa"/>
              <w:bottom w:w="85" w:type="dxa"/>
              <w:right w:w="85" w:type="dxa"/>
            </w:tcMar>
            <w:shd w:fill="FFFFFF"/>
          </w:tcPr>
          <w:p>
            <w:pPr>
              <w:spacing w:after="40" w:before="20" w:line="252" w:lineRule="auto"/>
            </w:pPr>
            <w:r>
              <w:rPr>
                <w:rFonts w:ascii="Arial" w:hAnsi="Arial"/>
                <w:sz w:val="21"/>
              </w:rPr>
              <w:t>Upper right first molar, occlusal.</w:t>
            </w:r>
          </w:p>
        </w:tc>
      </w:tr>
      <w:tr>
        <w:trPr>
          <w:cantSplit/>
        </w:trPr>
        <w:tc>
          <w:tcPr>
            <w:tcW w:type="dxa" w:w="2016"/>
            <w:vAlign w:val="center"/>
            <w:tcMar>
              <w:top w:w="85" w:type="dxa"/>
              <w:left w:w="85" w:type="dxa"/>
              <w:bottom w:w="85" w:type="dxa"/>
              <w:right w:w="85" w:type="dxa"/>
            </w:tcMar>
            <w:shd w:fill="F4F4F4"/>
          </w:tcPr>
          <w:p>
            <w:pPr>
              <w:spacing w:after="40" w:before="20" w:line="252" w:lineRule="auto"/>
            </w:pPr>
            <w:r>
              <w:rPr>
                <w:rFonts w:ascii="Arial" w:hAnsi="Arial"/>
                <w:sz w:val="21"/>
              </w:rPr>
              <w:t>LL4 D</w:t>
            </w:r>
          </w:p>
        </w:tc>
        <w:tc>
          <w:tcPr>
            <w:tcW w:type="dxa" w:w="8064"/>
            <w:vAlign w:val="center"/>
            <w:tcMar>
              <w:top w:w="85" w:type="dxa"/>
              <w:left w:w="85" w:type="dxa"/>
              <w:bottom w:w="85" w:type="dxa"/>
              <w:right w:w="85" w:type="dxa"/>
            </w:tcMar>
            <w:shd w:fill="F4F4F4"/>
          </w:tcPr>
          <w:p>
            <w:pPr>
              <w:spacing w:after="40" w:before="20" w:line="252" w:lineRule="auto"/>
            </w:pPr>
            <w:r>
              <w:rPr>
                <w:rFonts w:ascii="Arial" w:hAnsi="Arial"/>
                <w:sz w:val="21"/>
              </w:rPr>
              <w:t>Lower left first premolar, distal.</w:t>
            </w:r>
          </w:p>
        </w:tc>
      </w:tr>
      <w:tr>
        <w:trPr>
          <w:cantSplit/>
        </w:trPr>
        <w:tc>
          <w:tcPr>
            <w:tcW w:type="dxa" w:w="2016"/>
            <w:vAlign w:val="center"/>
            <w:tcMar>
              <w:top w:w="85" w:type="dxa"/>
              <w:left w:w="85" w:type="dxa"/>
              <w:bottom w:w="85" w:type="dxa"/>
              <w:right w:w="85" w:type="dxa"/>
            </w:tcMar>
            <w:shd w:fill="FFFFFF"/>
          </w:tcPr>
          <w:p>
            <w:pPr>
              <w:spacing w:after="40" w:before="20" w:line="252" w:lineRule="auto"/>
            </w:pPr>
            <w:r>
              <w:rPr>
                <w:rFonts w:ascii="Arial" w:hAnsi="Arial"/>
                <w:sz w:val="21"/>
              </w:rPr>
              <w:t>UL2 I</w:t>
            </w:r>
          </w:p>
        </w:tc>
        <w:tc>
          <w:tcPr>
            <w:tcW w:type="dxa" w:w="8064"/>
            <w:vAlign w:val="center"/>
            <w:tcMar>
              <w:top w:w="85" w:type="dxa"/>
              <w:left w:w="85" w:type="dxa"/>
              <w:bottom w:w="85" w:type="dxa"/>
              <w:right w:w="85" w:type="dxa"/>
            </w:tcMar>
            <w:shd w:fill="FFFFFF"/>
          </w:tcPr>
          <w:p>
            <w:pPr>
              <w:spacing w:after="40" w:before="20" w:line="252" w:lineRule="auto"/>
            </w:pPr>
            <w:r>
              <w:rPr>
                <w:rFonts w:ascii="Arial" w:hAnsi="Arial"/>
                <w:sz w:val="21"/>
              </w:rPr>
              <w:t>Upper left lateral incisor, incisal edge.</w:t>
            </w:r>
          </w:p>
        </w:tc>
      </w:tr>
      <w:tr>
        <w:trPr>
          <w:cantSplit/>
        </w:trPr>
        <w:tc>
          <w:tcPr>
            <w:tcW w:type="dxa" w:w="2016"/>
            <w:vAlign w:val="center"/>
            <w:tcMar>
              <w:top w:w="85" w:type="dxa"/>
              <w:left w:w="85" w:type="dxa"/>
              <w:bottom w:w="85" w:type="dxa"/>
              <w:right w:w="85" w:type="dxa"/>
            </w:tcMar>
            <w:shd w:fill="F4F4F4"/>
          </w:tcPr>
          <w:p>
            <w:pPr>
              <w:spacing w:after="40" w:before="20" w:line="252" w:lineRule="auto"/>
            </w:pPr>
            <w:r>
              <w:rPr>
                <w:rFonts w:ascii="Arial" w:hAnsi="Arial"/>
                <w:sz w:val="21"/>
              </w:rPr>
              <w:t>LR3 labial</w:t>
            </w:r>
          </w:p>
        </w:tc>
        <w:tc>
          <w:tcPr>
            <w:tcW w:type="dxa" w:w="8064"/>
            <w:vAlign w:val="center"/>
            <w:tcMar>
              <w:top w:w="85" w:type="dxa"/>
              <w:left w:w="85" w:type="dxa"/>
              <w:bottom w:w="85" w:type="dxa"/>
              <w:right w:w="85" w:type="dxa"/>
            </w:tcMar>
            <w:shd w:fill="F4F4F4"/>
          </w:tcPr>
          <w:p>
            <w:pPr>
              <w:spacing w:after="40" w:before="20" w:line="252" w:lineRule="auto"/>
            </w:pPr>
            <w:r>
              <w:rPr>
                <w:rFonts w:ascii="Arial" w:hAnsi="Arial"/>
                <w:sz w:val="21"/>
              </w:rPr>
              <w:t>Lower right canine, surface facing the lip.</w:t>
            </w:r>
          </w:p>
        </w:tc>
      </w:tr>
      <w:tr>
        <w:trPr>
          <w:cantSplit/>
        </w:trPr>
        <w:tc>
          <w:tcPr>
            <w:tcW w:type="dxa" w:w="2016"/>
            <w:vAlign w:val="center"/>
            <w:tcMar>
              <w:top w:w="85" w:type="dxa"/>
              <w:left w:w="85" w:type="dxa"/>
              <w:bottom w:w="85" w:type="dxa"/>
              <w:right w:w="85" w:type="dxa"/>
            </w:tcMar>
            <w:shd w:fill="FFFFFF"/>
          </w:tcPr>
          <w:p>
            <w:pPr>
              <w:spacing w:after="40" w:before="20" w:line="252" w:lineRule="auto"/>
            </w:pPr>
            <w:r>
              <w:rPr>
                <w:rFonts w:ascii="Arial" w:hAnsi="Arial"/>
                <w:sz w:val="21"/>
              </w:rPr>
              <w:t>LL7 MO</w:t>
            </w:r>
          </w:p>
        </w:tc>
        <w:tc>
          <w:tcPr>
            <w:tcW w:type="dxa" w:w="8064"/>
            <w:vAlign w:val="center"/>
            <w:tcMar>
              <w:top w:w="85" w:type="dxa"/>
              <w:left w:w="85" w:type="dxa"/>
              <w:bottom w:w="85" w:type="dxa"/>
              <w:right w:w="85" w:type="dxa"/>
            </w:tcMar>
            <w:shd w:fill="FFFFFF"/>
          </w:tcPr>
          <w:p>
            <w:pPr>
              <w:spacing w:after="40" w:before="20" w:line="252" w:lineRule="auto"/>
            </w:pPr>
            <w:r>
              <w:rPr>
                <w:rFonts w:ascii="Arial" w:hAnsi="Arial"/>
                <w:sz w:val="21"/>
              </w:rPr>
              <w:t>Lower left second molar, mesial and occlusal.</w:t>
            </w:r>
          </w:p>
        </w:tc>
      </w:tr>
      <w:tr>
        <w:trPr>
          <w:cantSplit/>
        </w:trPr>
        <w:tc>
          <w:tcPr>
            <w:tcW w:type="dxa" w:w="2016"/>
            <w:vAlign w:val="center"/>
            <w:tcMar>
              <w:top w:w="85" w:type="dxa"/>
              <w:left w:w="85" w:type="dxa"/>
              <w:bottom w:w="85" w:type="dxa"/>
              <w:right w:w="85" w:type="dxa"/>
            </w:tcMar>
            <w:shd w:fill="F4F4F4"/>
          </w:tcPr>
          <w:p>
            <w:pPr>
              <w:spacing w:after="40" w:before="20" w:line="252" w:lineRule="auto"/>
            </w:pPr>
            <w:r>
              <w:rPr>
                <w:rFonts w:ascii="Arial" w:hAnsi="Arial"/>
                <w:sz w:val="21"/>
              </w:rPr>
              <w:t>UL6 MOD</w:t>
            </w:r>
          </w:p>
        </w:tc>
        <w:tc>
          <w:tcPr>
            <w:tcW w:type="dxa" w:w="8064"/>
            <w:vAlign w:val="center"/>
            <w:tcMar>
              <w:top w:w="85" w:type="dxa"/>
              <w:left w:w="85" w:type="dxa"/>
              <w:bottom w:w="85" w:type="dxa"/>
              <w:right w:w="85" w:type="dxa"/>
            </w:tcMar>
            <w:shd w:fill="F4F4F4"/>
          </w:tcPr>
          <w:p>
            <w:pPr>
              <w:spacing w:after="40" w:before="20" w:line="252" w:lineRule="auto"/>
            </w:pPr>
            <w:r>
              <w:rPr>
                <w:rFonts w:ascii="Arial" w:hAnsi="Arial"/>
                <w:sz w:val="21"/>
              </w:rPr>
              <w:t>Upper left first molar, mesial, occlusal and distal.</w:t>
            </w:r>
          </w:p>
        </w:tc>
      </w:tr>
    </w:tbl>
    <w:p>
      <w:pPr>
        <w:spacing w:after="0"/>
      </w:pPr>
      <w:r>
        <w:rPr>
          <w:b w:val="0"/>
        </w:rPr>
      </w:r>
    </w:p>
    <w:p>
      <w:pPr>
        <w:pStyle w:val="Heading2"/>
      </w:pPr>
      <w:r>
        <w:t>Recording decisions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032"/>
        <w:gridCol w:w="6048"/>
      </w:tblGrid>
      <w:tr>
        <w:trPr>
          <w:tblHeader/>
          <w:cantSplit/>
        </w:trPr>
        <w:tc>
          <w:tcPr>
            <w:tcW w:type="dxa" w:w="4032"/>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Trainer instruction or situation</w:t>
            </w:r>
          </w:p>
        </w:tc>
        <w:tc>
          <w:tcPr>
            <w:tcW w:type="dxa" w:w="6048"/>
            <w:vAlign w:val="center"/>
            <w:tcMar>
              <w:top w:w="85" w:type="dxa"/>
              <w:left w:w="85" w:type="dxa"/>
              <w:bottom w:w="85" w:type="dxa"/>
              <w:right w:w="85" w:type="dxa"/>
            </w:tcMar>
            <w:shd w:fill="333333"/>
          </w:tcPr>
          <w:p>
            <w:pPr>
              <w:spacing w:after="40" w:before="20" w:line="252" w:lineRule="auto"/>
            </w:pPr>
            <w:r>
              <w:rPr>
                <w:rFonts w:ascii="Arial" w:hAnsi="Arial"/>
                <w:b/>
                <w:color w:val="FFFFFF"/>
                <w:sz w:val="20"/>
              </w:rPr>
              <w:t>Expected response</w:t>
            </w:r>
          </w:p>
        </w:tc>
      </w:tr>
      <w:tr>
        <w:trPr>
          <w:cantSplit/>
        </w:trPr>
        <w:tc>
          <w:tcPr>
            <w:tcW w:type="dxa" w:w="4032"/>
            <w:vAlign w:val="center"/>
            <w:tcMar>
              <w:top w:w="85" w:type="dxa"/>
              <w:left w:w="85" w:type="dxa"/>
              <w:bottom w:w="85" w:type="dxa"/>
              <w:right w:w="85" w:type="dxa"/>
            </w:tcMar>
            <w:shd w:fill="FFFFFF"/>
          </w:tcPr>
          <w:p>
            <w:pPr>
              <w:spacing w:after="40" w:before="20" w:line="252" w:lineRule="auto"/>
            </w:pPr>
            <w:r>
              <w:rPr>
                <w:rFonts w:ascii="Arial" w:hAnsi="Arial"/>
                <w:sz w:val="20"/>
              </w:rPr>
              <w:t>UR6 existing O amalgam</w:t>
            </w:r>
          </w:p>
        </w:tc>
        <w:tc>
          <w:tcPr>
            <w:tcW w:type="dxa" w:w="6048"/>
            <w:vAlign w:val="center"/>
            <w:tcMar>
              <w:top w:w="85" w:type="dxa"/>
              <w:left w:w="85" w:type="dxa"/>
              <w:bottom w:w="85" w:type="dxa"/>
              <w:right w:w="85" w:type="dxa"/>
            </w:tcMar>
            <w:shd w:fill="FFFFFF"/>
          </w:tcPr>
          <w:p>
            <w:pPr>
              <w:spacing w:after="40" w:before="20" w:line="252" w:lineRule="auto"/>
            </w:pPr>
            <w:r>
              <w:rPr>
                <w:rFonts w:ascii="Arial" w:hAnsi="Arial"/>
                <w:sz w:val="20"/>
              </w:rPr>
              <w:t>Confirm Base, correct local service, UR6 and O; read back.</w:t>
            </w:r>
          </w:p>
        </w:tc>
      </w:tr>
      <w:tr>
        <w:trPr>
          <w:cantSplit/>
        </w:trPr>
        <w:tc>
          <w:tcPr>
            <w:tcW w:type="dxa" w:w="4032"/>
            <w:vAlign w:val="center"/>
            <w:tcMar>
              <w:top w:w="85" w:type="dxa"/>
              <w:left w:w="85" w:type="dxa"/>
              <w:bottom w:w="85" w:type="dxa"/>
              <w:right w:w="85" w:type="dxa"/>
            </w:tcMar>
            <w:shd w:fill="F4F4F4"/>
          </w:tcPr>
          <w:p>
            <w:pPr>
              <w:spacing w:after="40" w:before="20" w:line="252" w:lineRule="auto"/>
            </w:pPr>
            <w:r>
              <w:rPr>
                <w:rFonts w:ascii="Arial" w:hAnsi="Arial"/>
                <w:sz w:val="20"/>
              </w:rPr>
              <w:t>LL4 distal decay</w:t>
            </w:r>
          </w:p>
        </w:tc>
        <w:tc>
          <w:tcPr>
            <w:tcW w:type="dxa" w:w="6048"/>
            <w:vAlign w:val="center"/>
            <w:tcMar>
              <w:top w:w="85" w:type="dxa"/>
              <w:left w:w="85" w:type="dxa"/>
              <w:bottom w:w="85" w:type="dxa"/>
              <w:right w:w="85" w:type="dxa"/>
            </w:tcMar>
            <w:shd w:fill="F4F4F4"/>
          </w:tcPr>
          <w:p>
            <w:pPr>
              <w:spacing w:after="40" w:before="20" w:line="252" w:lineRule="auto"/>
            </w:pPr>
            <w:r>
              <w:rPr>
                <w:rFonts w:ascii="Arial" w:hAnsi="Arial"/>
                <w:sz w:val="20"/>
              </w:rPr>
              <w:t>Record the dictated finding; ask for any separate treatment plan.</w:t>
            </w:r>
          </w:p>
        </w:tc>
      </w:tr>
      <w:tr>
        <w:trPr>
          <w:cantSplit/>
        </w:trPr>
        <w:tc>
          <w:tcPr>
            <w:tcW w:type="dxa" w:w="4032"/>
            <w:vAlign w:val="center"/>
            <w:tcMar>
              <w:top w:w="85" w:type="dxa"/>
              <w:left w:w="85" w:type="dxa"/>
              <w:bottom w:w="85" w:type="dxa"/>
              <w:right w:w="85" w:type="dxa"/>
            </w:tcMar>
            <w:shd w:fill="FFFFFF"/>
          </w:tcPr>
          <w:p>
            <w:pPr>
              <w:spacing w:after="40" w:before="20" w:line="252" w:lineRule="auto"/>
            </w:pPr>
            <w:r>
              <w:rPr>
                <w:rFonts w:ascii="Arial" w:hAnsi="Arial"/>
                <w:sz w:val="20"/>
              </w:rPr>
              <w:t>LR8 extraction planned</w:t>
            </w:r>
          </w:p>
        </w:tc>
        <w:tc>
          <w:tcPr>
            <w:tcW w:type="dxa" w:w="6048"/>
            <w:vAlign w:val="center"/>
            <w:tcMar>
              <w:top w:w="85" w:type="dxa"/>
              <w:left w:w="85" w:type="dxa"/>
              <w:bottom w:w="85" w:type="dxa"/>
              <w:right w:w="85" w:type="dxa"/>
            </w:tcMar>
            <w:shd w:fill="FFFFFF"/>
          </w:tcPr>
          <w:p>
            <w:pPr>
              <w:spacing w:after="40" w:before="20" w:line="252" w:lineRule="auto"/>
            </w:pPr>
            <w:r>
              <w:rPr>
                <w:rFonts w:ascii="Arial" w:hAnsi="Arial"/>
                <w:sz w:val="20"/>
              </w:rPr>
              <w:t>Use the correct COT; do not mark missing or completed.</w:t>
            </w:r>
          </w:p>
        </w:tc>
      </w:tr>
      <w:tr>
        <w:trPr>
          <w:cantSplit/>
        </w:trPr>
        <w:tc>
          <w:tcPr>
            <w:tcW w:type="dxa" w:w="4032"/>
            <w:vAlign w:val="center"/>
            <w:tcMar>
              <w:top w:w="85" w:type="dxa"/>
              <w:left w:w="85" w:type="dxa"/>
              <w:bottom w:w="85" w:type="dxa"/>
              <w:right w:w="85" w:type="dxa"/>
            </w:tcMar>
            <w:shd w:fill="F4F4F4"/>
          </w:tcPr>
          <w:p>
            <w:pPr>
              <w:spacing w:after="40" w:before="20" w:line="252" w:lineRule="auto"/>
            </w:pPr>
            <w:r>
              <w:rPr>
                <w:rFonts w:ascii="Arial" w:hAnsi="Arial"/>
                <w:sz w:val="20"/>
              </w:rPr>
              <w:t>LL6 retained root</w:t>
            </w:r>
          </w:p>
        </w:tc>
        <w:tc>
          <w:tcPr>
            <w:tcW w:type="dxa" w:w="6048"/>
            <w:vAlign w:val="center"/>
            <w:tcMar>
              <w:top w:w="85" w:type="dxa"/>
              <w:left w:w="85" w:type="dxa"/>
              <w:bottom w:w="85" w:type="dxa"/>
              <w:right w:w="85" w:type="dxa"/>
            </w:tcMar>
            <w:shd w:fill="F4F4F4"/>
          </w:tcPr>
          <w:p>
            <w:pPr>
              <w:spacing w:after="40" w:before="20" w:line="252" w:lineRule="auto"/>
            </w:pPr>
            <w:r>
              <w:rPr>
                <w:rFonts w:ascii="Arial" w:hAnsi="Arial"/>
                <w:sz w:val="20"/>
              </w:rPr>
              <w:t>Use the verified retained-root finding; do not substitute absent.</w:t>
            </w:r>
          </w:p>
        </w:tc>
      </w:tr>
      <w:tr>
        <w:trPr>
          <w:cantSplit/>
        </w:trPr>
        <w:tc>
          <w:tcPr>
            <w:tcW w:type="dxa" w:w="4032"/>
            <w:vAlign w:val="center"/>
            <w:tcMar>
              <w:top w:w="85" w:type="dxa"/>
              <w:left w:w="85" w:type="dxa"/>
              <w:bottom w:w="85" w:type="dxa"/>
              <w:right w:w="85" w:type="dxa"/>
            </w:tcMar>
            <w:shd w:fill="FFFFFF"/>
          </w:tcPr>
          <w:p>
            <w:pPr>
              <w:spacing w:after="40" w:before="20" w:line="252" w:lineRule="auto"/>
            </w:pPr>
            <w:r>
              <w:rPr>
                <w:rFonts w:ascii="Arial" w:hAnsi="Arial"/>
                <w:sz w:val="20"/>
              </w:rPr>
              <w:t>BPE 3 in a sextant</w:t>
            </w:r>
          </w:p>
        </w:tc>
        <w:tc>
          <w:tcPr>
            <w:tcW w:type="dxa" w:w="6048"/>
            <w:vAlign w:val="center"/>
            <w:tcMar>
              <w:top w:w="85" w:type="dxa"/>
              <w:left w:w="85" w:type="dxa"/>
              <w:bottom w:w="85" w:type="dxa"/>
              <w:right w:w="85" w:type="dxa"/>
            </w:tcMar>
            <w:shd w:fill="FFFFFF"/>
          </w:tcPr>
          <w:p>
            <w:pPr>
              <w:spacing w:after="40" w:before="20" w:line="252" w:lineRule="auto"/>
            </w:pPr>
            <w:r>
              <w:rPr>
                <w:rFonts w:ascii="Arial" w:hAnsi="Arial"/>
                <w:sz w:val="20"/>
              </w:rPr>
              <w:t>Enter screening code 3; do not enter a 3 mm pocket from it.</w:t>
            </w:r>
          </w:p>
        </w:tc>
      </w:tr>
      <w:tr>
        <w:trPr>
          <w:cantSplit/>
        </w:trPr>
        <w:tc>
          <w:tcPr>
            <w:tcW w:type="dxa" w:w="4032"/>
            <w:vAlign w:val="center"/>
            <w:tcMar>
              <w:top w:w="85" w:type="dxa"/>
              <w:left w:w="85" w:type="dxa"/>
              <w:bottom w:w="85" w:type="dxa"/>
              <w:right w:w="85" w:type="dxa"/>
            </w:tcMar>
            <w:shd w:fill="F4F4F4"/>
          </w:tcPr>
          <w:p>
            <w:pPr>
              <w:spacing w:after="40" w:before="20" w:line="252" w:lineRule="auto"/>
            </w:pPr>
            <w:r>
              <w:rPr>
                <w:rFonts w:ascii="Arial" w:hAnsi="Arial"/>
                <w:sz w:val="20"/>
              </w:rPr>
              <w:t>A Perio reading was not heard</w:t>
            </w:r>
          </w:p>
        </w:tc>
        <w:tc>
          <w:tcPr>
            <w:tcW w:type="dxa" w:w="6048"/>
            <w:vAlign w:val="center"/>
            <w:tcMar>
              <w:top w:w="85" w:type="dxa"/>
              <w:left w:w="85" w:type="dxa"/>
              <w:bottom w:w="85" w:type="dxa"/>
              <w:right w:w="85" w:type="dxa"/>
            </w:tcMar>
            <w:shd w:fill="F4F4F4"/>
          </w:tcPr>
          <w:p>
            <w:pPr>
              <w:spacing w:after="40" w:before="20" w:line="252" w:lineRule="auto"/>
            </w:pPr>
            <w:r>
              <w:rPr>
                <w:rFonts w:ascii="Arial" w:hAnsi="Arial"/>
                <w:sz w:val="20"/>
              </w:rPr>
              <w:t>Stop and ask for tooth, site and value again.</w:t>
            </w:r>
          </w:p>
        </w:tc>
      </w:tr>
      <w:tr>
        <w:trPr>
          <w:cantSplit/>
        </w:trPr>
        <w:tc>
          <w:tcPr>
            <w:tcW w:type="dxa" w:w="4032"/>
            <w:vAlign w:val="center"/>
            <w:tcMar>
              <w:top w:w="85" w:type="dxa"/>
              <w:left w:w="85" w:type="dxa"/>
              <w:bottom w:w="85" w:type="dxa"/>
              <w:right w:w="85" w:type="dxa"/>
            </w:tcMar>
            <w:shd w:fill="FFFFFF"/>
          </w:tcPr>
          <w:p>
            <w:pPr>
              <w:spacing w:after="40" w:before="20" w:line="252" w:lineRule="auto"/>
            </w:pPr>
            <w:r>
              <w:rPr>
                <w:rFonts w:ascii="Arial" w:hAnsi="Arial"/>
                <w:sz w:val="20"/>
              </w:rPr>
              <w:t>Scanner tip processing is uncertain</w:t>
            </w:r>
          </w:p>
        </w:tc>
        <w:tc>
          <w:tcPr>
            <w:tcW w:type="dxa" w:w="6048"/>
            <w:vAlign w:val="center"/>
            <w:tcMar>
              <w:top w:w="85" w:type="dxa"/>
              <w:left w:w="85" w:type="dxa"/>
              <w:bottom w:w="85" w:type="dxa"/>
              <w:right w:w="85" w:type="dxa"/>
            </w:tcMar>
            <w:shd w:fill="FFFFFF"/>
          </w:tcPr>
          <w:p>
            <w:pPr>
              <w:spacing w:after="40" w:before="20" w:line="252" w:lineRule="auto"/>
            </w:pPr>
            <w:r>
              <w:rPr>
                <w:rFonts w:ascii="Arial" w:hAnsi="Arial"/>
                <w:sz w:val="20"/>
              </w:rPr>
              <w:t>Keep it out of use and seek the responsible trainer’s help.</w:t>
            </w:r>
          </w:p>
        </w:tc>
      </w:tr>
      <w:tr>
        <w:trPr>
          <w:cantSplit/>
        </w:trPr>
        <w:tc>
          <w:tcPr>
            <w:tcW w:type="dxa" w:w="4032"/>
            <w:vAlign w:val="center"/>
            <w:tcMar>
              <w:top w:w="85" w:type="dxa"/>
              <w:left w:w="85" w:type="dxa"/>
              <w:bottom w:w="85" w:type="dxa"/>
              <w:right w:w="85" w:type="dxa"/>
            </w:tcMar>
            <w:shd w:fill="F4F4F4"/>
          </w:tcPr>
          <w:p>
            <w:pPr>
              <w:spacing w:after="40" w:before="20" w:line="252" w:lineRule="auto"/>
            </w:pPr>
            <w:r>
              <w:rPr>
                <w:rFonts w:ascii="Arial" w:hAnsi="Arial"/>
                <w:sz w:val="20"/>
              </w:rPr>
              <w:t>EMS cleaning cycle was interrupted</w:t>
            </w:r>
          </w:p>
        </w:tc>
        <w:tc>
          <w:tcPr>
            <w:tcW w:type="dxa" w:w="6048"/>
            <w:vAlign w:val="center"/>
            <w:tcMar>
              <w:top w:w="85" w:type="dxa"/>
              <w:left w:w="85" w:type="dxa"/>
              <w:bottom w:w="85" w:type="dxa"/>
              <w:right w:w="85" w:type="dxa"/>
            </w:tcMar>
            <w:shd w:fill="F4F4F4"/>
          </w:tcPr>
          <w:p>
            <w:pPr>
              <w:spacing w:after="40" w:before="20" w:line="252" w:lineRule="auto"/>
            </w:pPr>
            <w:r>
              <w:rPr>
                <w:rFonts w:ascii="Arial" w:hAnsi="Arial"/>
                <w:sz w:val="20"/>
              </w:rPr>
              <w:t>Keep the unit out of clinical use and report the unresolved process.</w:t>
            </w:r>
          </w:p>
        </w:tc>
      </w:tr>
    </w:tbl>
    <w:p>
      <w:pPr>
        <w:spacing w:after="0"/>
      </w:pPr>
      <w:r>
        <w:rPr>
          <w:b w:val="0"/>
        </w:rPr>
      </w:r>
    </w:p>
    <w:p>
      <w:r>
        <w:rPr>
          <w:b w:val="0"/>
        </w:rPr>
        <w:t>A correct answer on paper supports learning. It does not replace supervised practical demonstration or authorise patient care. Use the task record to document what the learner can actually do safely.</w:t>
      </w:r>
    </w:p>
    <w:p>
      <w:pPr>
        <w:pStyle w:val="Heading1"/>
        <w:pageBreakBefore/>
      </w:pPr>
      <w:r>
        <w:t>Reference and implementation notes</w:t>
      </w:r>
    </w:p>
    <w:p>
      <w:r>
        <w:rPr>
          <w:b w:val="0"/>
        </w:rPr>
        <w:t>Resources checked on 19 October 2026. The linked official help articles and manufacturer instructions support the teaching sections. The practice’s current procedures, equipment instructions and the provider’s qualification requirements determine the method used locally.</w:t>
      </w:r>
    </w:p>
    <w:p>
      <w:pPr>
        <w:pStyle w:val="Heading2"/>
      </w:pPr>
      <w:r>
        <w:t>Before issuing the manual</w:t>
      </w:r>
    </w:p>
    <w:p>
      <w:pPr>
        <w:pStyle w:val="ListBullet"/>
      </w:pPr>
      <w:r>
        <w:rPr>
          <w:b w:val="0"/>
        </w:rPr>
        <w:t>Complete the learner, supervisor and local induction details. Confirm the provider timetable and any individual support.</w:t>
      </w:r>
    </w:p>
    <w:p>
      <w:pPr>
        <w:pStyle w:val="ListBullet"/>
      </w:pPr>
      <w:r>
        <w:rPr>
          <w:b w:val="0"/>
        </w:rPr>
        <w:t>Have an experienced local EXACT user complete the service lookup, demonstrate the active BPE and Perio screens and confirm correction permissions.</w:t>
      </w:r>
    </w:p>
    <w:p>
      <w:pPr>
        <w:pStyle w:val="ListBullet"/>
      </w:pPr>
      <w:r>
        <w:rPr>
          <w:b w:val="0"/>
        </w:rPr>
        <w:t>Identify each scanner and EMS unit, its components and current regional instructions. Complete the equipment fields and teach only the relevant tasks.</w:t>
      </w:r>
    </w:p>
    <w:p>
      <w:pPr>
        <w:pStyle w:val="ListBullet"/>
      </w:pPr>
      <w:r>
        <w:rPr>
          <w:b w:val="0"/>
        </w:rPr>
        <w:t>The clinician or lead nurse should preview each selected video against the current local tray, product and procedure before using it for teaching.</w:t>
      </w:r>
    </w:p>
    <w:p>
      <w:pPr>
        <w:pStyle w:val="Heading2"/>
      </w:pPr>
      <w:r>
        <w:t>Official professional references</w:t>
      </w:r>
    </w:p>
    <w:p>
      <w:pPr>
        <w:spacing w:after="140"/>
      </w:pPr>
      <w:hyperlink r:id="rId11">
        <w:r>
          <w:rPr>
            <w:color w:val="205781"/>
            <w:sz w:val="20"/>
          </w:rPr>
          <w:t>GDC guidance for employers of trainees and students</w:t>
        </w:r>
      </w:hyperlink>
    </w:p>
    <w:p>
      <w:pPr>
        <w:spacing w:after="140"/>
      </w:pPr>
      <w:hyperlink r:id="rId63">
        <w:r>
          <w:rPr>
            <w:color w:val="205781"/>
            <w:sz w:val="20"/>
          </w:rPr>
          <w:t>GDC Scope of practice</w:t>
        </w:r>
      </w:hyperlink>
    </w:p>
    <w:p>
      <w:pPr>
        <w:spacing w:after="140"/>
      </w:pPr>
      <w:hyperlink r:id="rId64">
        <w:r>
          <w:rPr>
            <w:color w:val="205781"/>
            <w:sz w:val="20"/>
          </w:rPr>
          <w:t>CQC Regulation 18 Staffing</w:t>
        </w:r>
      </w:hyperlink>
    </w:p>
    <w:p>
      <w:pPr>
        <w:spacing w:after="140"/>
      </w:pPr>
      <w:hyperlink r:id="rId46">
        <w:r>
          <w:rPr>
            <w:color w:val="205781"/>
            <w:sz w:val="20"/>
          </w:rPr>
          <w:t>NHS England HTM 01 05 decontamination guidance</w:t>
        </w:r>
      </w:hyperlink>
    </w:p>
    <w:p>
      <w:pPr>
        <w:spacing w:after="140"/>
      </w:pPr>
      <w:hyperlink r:id="rId65">
        <w:r>
          <w:rPr>
            <w:color w:val="205781"/>
            <w:sz w:val="20"/>
          </w:rPr>
          <w:t>HSE sharps regulations in healthcare</w:t>
        </w:r>
      </w:hyperlink>
    </w:p>
    <w:p>
      <w:pPr>
        <w:spacing w:after="140"/>
      </w:pPr>
      <w:hyperlink r:id="rId66">
        <w:r>
          <w:rPr>
            <w:color w:val="205781"/>
            <w:sz w:val="20"/>
          </w:rPr>
          <w:t>Resuscitation Council UK primary dental care standards</w:t>
        </w:r>
      </w:hyperlink>
    </w:p>
    <w:p>
      <w:pPr>
        <w:spacing w:after="140"/>
      </w:pPr>
      <w:hyperlink r:id="rId67">
        <w:r>
          <w:rPr>
            <w:color w:val="205781"/>
            <w:sz w:val="20"/>
          </w:rPr>
          <w:t>BSP current publications catalogue</w:t>
        </w:r>
      </w:hyperlink>
    </w:p>
    <w:p>
      <w:pPr>
        <w:spacing w:after="140"/>
      </w:pPr>
      <w:hyperlink r:id="rId22">
        <w:r>
          <w:rPr>
            <w:color w:val="205781"/>
            <w:sz w:val="20"/>
          </w:rPr>
          <w:t>SOE EXACT clinical eLearning</w:t>
        </w:r>
      </w:hyperlink>
    </w:p>
    <w:p>
      <w:pPr>
        <w:pStyle w:val="Heading2"/>
      </w:pPr>
      <w:r>
        <w:t>How this programme fits the apprenticeship</w:t>
      </w:r>
    </w:p>
    <w:p>
      <w:r>
        <w:rPr>
          <w:b w:val="0"/>
        </w:rPr>
        <w:t>This is the practice’s foundation teaching programme. It supports the recognised qualification and does not replace the provider curriculum or its required assessments. Keep an accurate training log and obtain signed evidence of practical competence. New trainees starting from 1 June 2026 must begin a recognised programme within 12 months; apprentices should have formal training arranged from the outset.</w:t>
      </w:r>
    </w:p>
    <w:sectPr w:rsidR="00FC693F" w:rsidRPr="0006063C" w:rsidSect="00034616">
      <w:headerReference w:type="default" r:id="rId9"/>
      <w:footerReference w:type="default" r:id="rId10"/>
      <w:pgSz w:w="12240" w:h="15840"/>
      <w:pgMar w:top="1008" w:right="1080" w:bottom="936" w:left="1080" w:header="403"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t>s3dental.co.uk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08" w:val="left"/>
      </w:tabs>
    </w:pPr>
    <w:r>
      <w:rPr>
        <w:rFonts w:ascii="Arial" w:hAnsi="Arial"/>
        <w:b/>
        <w:color w:val="000000"/>
        <w:sz w:val="18"/>
      </w:rPr>
      <w:t>S3 DENTAL</w:t>
    </w:r>
    <w:r>
      <w:rPr>
        <w:rFonts w:ascii="Arial" w:hAnsi="Arial"/>
        <w:color w:val="000000"/>
        <w:sz w:val="18"/>
      </w:rPr>
      <w:tab/>
      <w:t xml:space="preserve">Apprentice training manual  |  </w:t>
    </w:r>
    <w:fldSimple w:instr="PAG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ind w:left="259" w:hanging="173"/>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gdc-uk.org/education-cpd/students-and-trainees/guidance-for-employers-of-trainees-students" TargetMode="External"/><Relationship Id="rId12" Type="http://schemas.openxmlformats.org/officeDocument/2006/relationships/hyperlink" Target="https://www.nhsinform.scot/healthy-living/dental-health/your-teeth/everything-you-need-to-know-about-teeth" TargetMode="External"/><Relationship Id="rId13" Type="http://schemas.openxmlformats.org/officeDocument/2006/relationships/hyperlink" Target="https://www.sheffieldchildrens.nhs.uk/download/1721/acute-injury-and-orthopaedics/64188/4-34-dental-injuries.pdf" TargetMode="External"/><Relationship Id="rId14" Type="http://schemas.openxmlformats.org/officeDocument/2006/relationships/hyperlink" Target="https://www.mouthhealthy.org/all-topics-a-z/tooth/" TargetMode="External"/><Relationship Id="rId15" Type="http://schemas.openxmlformats.org/officeDocument/2006/relationships/hyperlink" Target="https://www.ada.org/publications/cdt/glossary-dental-terms" TargetMode="External"/><Relationship Id="rId16" Type="http://schemas.openxmlformats.org/officeDocument/2006/relationships/hyperlink" Target="https://help.softwareofexcellence.com/hc/en-gb/articles/4414305478548-Base-Charting" TargetMode="External"/><Relationship Id="rId17" Type="http://schemas.openxmlformats.org/officeDocument/2006/relationships/hyperlink" Target="https://www.nidcr.nih.gov/health-info/dental-fillings" TargetMode="External"/><Relationship Id="rId18" Type="http://schemas.openxmlformats.org/officeDocument/2006/relationships/hyperlink" Target="https://help.softwareofexcellence.com/hc/en-gb/articles/360059184631-Charting-Treatment" TargetMode="External"/><Relationship Id="rId19" Type="http://schemas.openxmlformats.org/officeDocument/2006/relationships/hyperlink" Target="https://help.softwareofexcellence.com/hc/en-gb/articles/360060071591-Charging-and-completing-a-course-of-treatment" TargetMode="External"/><Relationship Id="rId20" Type="http://schemas.openxmlformats.org/officeDocument/2006/relationships/hyperlink" Target="https://help.softwareofexcellence.com/hc/en-gb/articles/360059065071-Graphical-2D-Tooth-Charting" TargetMode="External"/><Relationship Id="rId21" Type="http://schemas.openxmlformats.org/officeDocument/2006/relationships/hyperlink" Target="https://help.softwareofexcellence.com/hc/en-gb/articles/4404417329044-NHS-Charting-Decay-for-DMF" TargetMode="External"/><Relationship Id="rId22" Type="http://schemas.openxmlformats.org/officeDocument/2006/relationships/hyperlink" Target="https://help.softwareofexcellence.com/hc/en-gb/articles/29906214931348-EXACT-eLearning-Clinical" TargetMode="External"/><Relationship Id="rId23" Type="http://schemas.openxmlformats.org/officeDocument/2006/relationships/hyperlink" Target="https://www.bsperio.org.uk/assets/downloads/BSP_BPE_Guidelines_2019.pdf" TargetMode="External"/><Relationship Id="rId24" Type="http://schemas.openxmlformats.org/officeDocument/2006/relationships/hyperlink" Target="https://help.softwareofexcellence.com/hc/en-gb/articles/360061457951-Recording-a-BPE" TargetMode="External"/><Relationship Id="rId25" Type="http://schemas.openxmlformats.org/officeDocument/2006/relationships/hyperlink" Target="https://www.bsperio.org.uk/assets/downloads/pocket-chart.pdf" TargetMode="External"/><Relationship Id="rId26" Type="http://schemas.openxmlformats.org/officeDocument/2006/relationships/hyperlink" Target="https://www.bsperio.org.uk/professionals/clinical-faqs" TargetMode="External"/><Relationship Id="rId27" Type="http://schemas.openxmlformats.org/officeDocument/2006/relationships/hyperlink" Target="https://help.softwareofexcellence.com/hc/en-gb/articles/360061047792-Single-Screen-Perio-Charting" TargetMode="External"/><Relationship Id="rId28" Type="http://schemas.openxmlformats.org/officeDocument/2006/relationships/hyperlink" Target="https://help.softwareofexcellence.com/hc/en-gb/articles/28796342303764-Entering-Perio-Data-with-Single-Screen-Perio-Charting" TargetMode="External"/><Relationship Id="rId29" Type="http://schemas.openxmlformats.org/officeDocument/2006/relationships/hyperlink" Target="https://help.softwareofexcellence.com/hc/en-gb/articles/360061458591-Original-Perio-Charting" TargetMode="External"/><Relationship Id="rId30" Type="http://schemas.openxmlformats.org/officeDocument/2006/relationships/hyperlink" Target="https://help.softwareofexcellence.com/hc/en-gb/articles/28794392328340-Configuring-Single-Screen-Perio-Charting" TargetMode="External"/><Relationship Id="rId31" Type="http://schemas.openxmlformats.org/officeDocument/2006/relationships/hyperlink" Target="https://help.softwareofexcellence.com/hc/en-gb/articles/28797939046804-Editing-and-Deleting-Perio-Charting" TargetMode="External"/><Relationship Id="rId32" Type="http://schemas.openxmlformats.org/officeDocument/2006/relationships/hyperlink" Target="https://www.sussexcommunity.nhs.uk/patients-and-visitors/resources/patient-resources/dental-fillings" TargetMode="External"/><Relationship Id="rId33" Type="http://schemas.openxmlformats.org/officeDocument/2006/relationships/hyperlink" Target="https://www.nhs.uk/live-well/healthy-teeth-and-gums/dental-treatments/" TargetMode="External"/><Relationship Id="rId34" Type="http://schemas.openxmlformats.org/officeDocument/2006/relationships/hyperlink" Target="https://www.nhs.uk/tests-and-treatments/root-canal-treatment/" TargetMode="External"/><Relationship Id="rId35" Type="http://schemas.openxmlformats.org/officeDocument/2006/relationships/hyperlink" Target="https://www.youtube.com/watch?v=4V5p5v4eDoI" TargetMode="External"/><Relationship Id="rId36" Type="http://schemas.openxmlformats.org/officeDocument/2006/relationships/hyperlink" Target="https://www.youtube.com/watch?v=TjQOfTsA990" TargetMode="External"/><Relationship Id="rId37" Type="http://schemas.openxmlformats.org/officeDocument/2006/relationships/hyperlink" Target="https://www.youtube.com/watch?v=hVDN6oZw31M" TargetMode="External"/><Relationship Id="rId38" Type="http://schemas.openxmlformats.org/officeDocument/2006/relationships/hyperlink" Target="https://www.youtube.com/watch?v=TEbrP04dJCQ" TargetMode="External"/><Relationship Id="rId39" Type="http://schemas.openxmlformats.org/officeDocument/2006/relationships/hyperlink" Target="https://www.youtube.com/watch?v=hhNWQvzXKMw" TargetMode="External"/><Relationship Id="rId40" Type="http://schemas.openxmlformats.org/officeDocument/2006/relationships/hyperlink" Target="https://www.youtube.com/watch?v=CNciVAYkT0o" TargetMode="External"/><Relationship Id="rId41" Type="http://schemas.openxmlformats.org/officeDocument/2006/relationships/hyperlink" Target="https://www.youtube.com/watch?v=vOhti8DdOmY" TargetMode="External"/><Relationship Id="rId42" Type="http://schemas.openxmlformats.org/officeDocument/2006/relationships/hyperlink" Target="https://www.youtube.com/watch?v=Gpcu_SAKK2c" TargetMode="External"/><Relationship Id="rId43" Type="http://schemas.openxmlformats.org/officeDocument/2006/relationships/hyperlink" Target="https://www.youtube.com/watch?v=a4uBxmoRMVU" TargetMode="External"/><Relationship Id="rId44" Type="http://schemas.openxmlformats.org/officeDocument/2006/relationships/hyperlink" Target="https://www.youtube.com/watch?v=XvE7sPyY36A" TargetMode="External"/><Relationship Id="rId45" Type="http://schemas.openxmlformats.org/officeDocument/2006/relationships/hyperlink" Target="https://www.youtube.com/@samibutt5769" TargetMode="External"/><Relationship Id="rId46" Type="http://schemas.openxmlformats.org/officeDocument/2006/relationships/hyperlink" Target="https://www.england.nhs.uk/publication/decontamination-in-primary-care-dental-practices-htm-01-05/" TargetMode="External"/><Relationship Id="rId47" Type="http://schemas.openxmlformats.org/officeDocument/2006/relationships/hyperlink" Target="https://learn.3shape.com/en/training/products/trios-3" TargetMode="External"/><Relationship Id="rId48" Type="http://schemas.openxmlformats.org/officeDocument/2006/relationships/hyperlink" Target="https://www.youtube.com/watch?v=IGzf9qkztMo" TargetMode="External"/><Relationship Id="rId49" Type="http://schemas.openxmlformats.org/officeDocument/2006/relationships/hyperlink" Target="https://www.youtube.com/watch?v=qKeqc3H915Y" TargetMode="External"/><Relationship Id="rId50" Type="http://schemas.openxmlformats.org/officeDocument/2006/relationships/hyperlink" Target="https://learn.3shape.com/en/training/products/unite" TargetMode="External"/><Relationship Id="rId51" Type="http://schemas.openxmlformats.org/officeDocument/2006/relationships/hyperlink" Target="https://www.3shape.com/en/support-docs" TargetMode="External"/><Relationship Id="rId52" Type="http://schemas.openxmlformats.org/officeDocument/2006/relationships/hyperlink" Target="https://learn.3shape.com/en/support/all-products/trios-scanner--accessories/trios-3/how-to/how-to-clean-disinfect-and-sterilize-your-trios-tips" TargetMode="External"/><Relationship Id="rId53" Type="http://schemas.openxmlformats.org/officeDocument/2006/relationships/hyperlink" Target="https://support.3shape.com/en_US/trios-general/clean-disinfect-sterilize-trios-scanner" TargetMode="External"/><Relationship Id="rId54" Type="http://schemas.openxmlformats.org/officeDocument/2006/relationships/hyperlink" Target="https://www.youtube.com/watch?v=0KyBESrOFHY" TargetMode="External"/><Relationship Id="rId55" Type="http://schemas.openxmlformats.org/officeDocument/2006/relationships/hyperlink" Target="https://www.ems-dental.com/en-us/FAQ/airflow-prophylaxis-master" TargetMode="External"/><Relationship Id="rId56" Type="http://schemas.openxmlformats.org/officeDocument/2006/relationships/hyperlink" Target="https://www.ems-dental.com/en-us/documents/airflow-prophylaxis-master" TargetMode="External"/><Relationship Id="rId57" Type="http://schemas.openxmlformats.org/officeDocument/2006/relationships/hyperlink" Target="https://www.swissdentalacademy.com/gb/private-courses-en/" TargetMode="External"/><Relationship Id="rId58" Type="http://schemas.openxmlformats.org/officeDocument/2006/relationships/hyperlink" Target="https://www.youtube.com/watch?v=Nz6lUEs_HPQ" TargetMode="External"/><Relationship Id="rId59" Type="http://schemas.openxmlformats.org/officeDocument/2006/relationships/hyperlink" Target="https://www.youtube.com/watch?v=vUrsdESSgmY" TargetMode="External"/><Relationship Id="rId60" Type="http://schemas.openxmlformats.org/officeDocument/2006/relationships/hyperlink" Target="https://www.ems-dental.com/en-us/FAQ/airflow-prophylaxis-master/how-to-do-everyday-maintenance-of-the-airflow-prophylaxis-master-without-station" TargetMode="External"/><Relationship Id="rId61" Type="http://schemas.openxmlformats.org/officeDocument/2006/relationships/hyperlink" Target="https://www.ems-dental.com/en-us/FAQ/airflow-prophylaxis-master/how-to-do-everyday-maintenance-of-the-airflow-prophylaxis-master-with-station" TargetMode="External"/><Relationship Id="rId62" Type="http://schemas.openxmlformats.org/officeDocument/2006/relationships/hyperlink" Target="https://skillsengland.education.gov.uk/apprenticeships/st1431?view=epa" TargetMode="External"/><Relationship Id="rId63" Type="http://schemas.openxmlformats.org/officeDocument/2006/relationships/hyperlink" Target="https://www.gdc-uk.org/standards-guidance/standards-and-guidance/scope-of-practice" TargetMode="External"/><Relationship Id="rId64" Type="http://schemas.openxmlformats.org/officeDocument/2006/relationships/hyperlink" Target="https://www.cqc.org.uk/guidance-regulation/providers/regulations-service-providers-and-managers/health-social-care-act/regulation-18" TargetMode="External"/><Relationship Id="rId65" Type="http://schemas.openxmlformats.org/officeDocument/2006/relationships/hyperlink" Target="https://www.hse.gov.uk/pubns/hsis7.htm" TargetMode="External"/><Relationship Id="rId66" Type="http://schemas.openxmlformats.org/officeDocument/2006/relationships/hyperlink" Target="https://www.resus.org.uk/library/quality-standards-cpr/primary-dental-care" TargetMode="External"/><Relationship Id="rId67" Type="http://schemas.openxmlformats.org/officeDocument/2006/relationships/hyperlink" Target="https://www.bsperio.org.uk/professionals/public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 Dental Apprentice Training Programme and Basics Manual</dc:title>
  <dc:subject>Apprentice training manual</dc:subject>
  <dc:creator>S3 Dental</dc:creator>
  <cp:keywords>apprentice dental nurse training S3 Dental England</cp:keywords>
  <dc:description>generated by python-docx</dc:description>
  <cp:lastModifiedBy/>
  <cp:revision>1</cp:revision>
  <dcterms:created xsi:type="dcterms:W3CDTF">2013-12-23T23:15:00Z</dcterms:created>
  <dcterms:modified xsi:type="dcterms:W3CDTF">2013-12-23T23:15:00Z</dcterms:modified>
  <cp:category/>
</cp:coreProperties>
</file>